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63" w:rsidRDefault="00442B7F" w:rsidP="00F25BAC">
      <w:pPr>
        <w:shd w:val="clear" w:color="auto" w:fill="FFFFFF"/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Handout 5.1a: </w:t>
      </w:r>
      <w:bookmarkStart w:id="0" w:name="_GoBack"/>
      <w:bookmarkEnd w:id="0"/>
      <w:r w:rsidR="005A7D35">
        <w:rPr>
          <w:b/>
          <w:sz w:val="32"/>
        </w:rPr>
        <w:t xml:space="preserve">USAID’s Office of </w:t>
      </w:r>
      <w:r w:rsidR="00416CCD" w:rsidRPr="00416CCD">
        <w:rPr>
          <w:b/>
          <w:sz w:val="32"/>
        </w:rPr>
        <w:t>Food for Peace</w:t>
      </w:r>
      <w:r w:rsidR="005A7D35">
        <w:rPr>
          <w:b/>
          <w:sz w:val="32"/>
        </w:rPr>
        <w:t xml:space="preserve"> (FFP)</w:t>
      </w:r>
      <w:r w:rsidR="00416CCD" w:rsidRPr="00416CCD">
        <w:rPr>
          <w:b/>
          <w:sz w:val="32"/>
        </w:rPr>
        <w:t xml:space="preserve"> Indicators </w:t>
      </w:r>
    </w:p>
    <w:p w:rsidR="005A7D35" w:rsidRDefault="0022350A" w:rsidP="00F25BAC">
      <w:p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This is not an official USAID document. This handout is created for the purpose of TOPS theory of change workshops. It contains e</w:t>
      </w:r>
      <w:r w:rsidR="005A7D35" w:rsidRPr="004714E8">
        <w:rPr>
          <w:sz w:val="24"/>
        </w:rPr>
        <w:t xml:space="preserve">xcerpts from </w:t>
      </w:r>
      <w:r>
        <w:rPr>
          <w:sz w:val="24"/>
        </w:rPr>
        <w:t xml:space="preserve">the Official USAID FFP </w:t>
      </w:r>
      <w:r w:rsidR="005A7D35" w:rsidRPr="004714E8">
        <w:rPr>
          <w:sz w:val="24"/>
        </w:rPr>
        <w:t>April 13, 2015 update</w:t>
      </w:r>
      <w:r w:rsidR="00B216C9">
        <w:rPr>
          <w:sz w:val="24"/>
        </w:rPr>
        <w:t xml:space="preserve"> which is on your USB.</w:t>
      </w:r>
    </w:p>
    <w:p w:rsidR="008D2C60" w:rsidRPr="004714E8" w:rsidRDefault="008D2C60" w:rsidP="00F25BAC">
      <w:pPr>
        <w:shd w:val="clear" w:color="auto" w:fill="FFFFFF"/>
        <w:spacing w:after="0" w:line="240" w:lineRule="auto"/>
        <w:rPr>
          <w:sz w:val="24"/>
        </w:rPr>
      </w:pPr>
    </w:p>
    <w:p w:rsidR="00C071AB" w:rsidRDefault="00C071AB" w:rsidP="00F25BAC">
      <w:pPr>
        <w:shd w:val="clear" w:color="auto" w:fill="FFFFFF"/>
        <w:spacing w:after="0" w:line="240" w:lineRule="auto"/>
        <w:rPr>
          <w:sz w:val="24"/>
          <w:szCs w:val="24"/>
        </w:rPr>
      </w:pPr>
      <w:r w:rsidRPr="00EF5C3E">
        <w:rPr>
          <w:b/>
          <w:sz w:val="24"/>
          <w:szCs w:val="24"/>
        </w:rPr>
        <w:t>Bold type &amp; R = required</w:t>
      </w:r>
      <w:r w:rsidR="005453B8" w:rsidRPr="00EF5C3E">
        <w:rPr>
          <w:b/>
          <w:sz w:val="24"/>
          <w:szCs w:val="24"/>
        </w:rPr>
        <w:t xml:space="preserve"> for all development projects</w:t>
      </w:r>
      <w:r w:rsidR="00657862">
        <w:rPr>
          <w:sz w:val="24"/>
          <w:szCs w:val="24"/>
        </w:rPr>
        <w:t xml:space="preserve">         </w:t>
      </w:r>
      <w:proofErr w:type="spellStart"/>
      <w:proofErr w:type="gramStart"/>
      <w:r w:rsidRPr="00C071AB">
        <w:rPr>
          <w:sz w:val="24"/>
          <w:szCs w:val="24"/>
        </w:rPr>
        <w:t>R</w:t>
      </w:r>
      <w:r w:rsidR="00737893">
        <w:rPr>
          <w:sz w:val="24"/>
          <w:szCs w:val="24"/>
        </w:rPr>
        <w:t>i</w:t>
      </w:r>
      <w:r w:rsidRPr="00C071AB">
        <w:rPr>
          <w:sz w:val="24"/>
          <w:szCs w:val="24"/>
        </w:rPr>
        <w:t>A</w:t>
      </w:r>
      <w:proofErr w:type="spellEnd"/>
      <w:proofErr w:type="gramEnd"/>
      <w:r w:rsidRPr="00C071AB">
        <w:rPr>
          <w:sz w:val="24"/>
          <w:szCs w:val="24"/>
        </w:rPr>
        <w:t xml:space="preserve"> = Required if applicable</w:t>
      </w:r>
    </w:p>
    <w:p w:rsidR="00F21B41" w:rsidRPr="00E506FB" w:rsidRDefault="00BC51A9" w:rsidP="00F25BAC">
      <w:pPr>
        <w:shd w:val="clear" w:color="auto" w:fill="FFFFFF"/>
        <w:spacing w:after="0" w:line="240" w:lineRule="auto"/>
        <w:rPr>
          <w:color w:val="548DD4" w:themeColor="text2" w:themeTint="99"/>
          <w:sz w:val="24"/>
          <w:szCs w:val="24"/>
        </w:rPr>
      </w:pPr>
      <w:r w:rsidRPr="00AC41DA">
        <w:rPr>
          <w:color w:val="C00000"/>
          <w:sz w:val="24"/>
          <w:szCs w:val="24"/>
        </w:rPr>
        <w:t xml:space="preserve">Red type = Impact indicator  </w:t>
      </w:r>
      <w:r w:rsidR="00D66DCC" w:rsidRPr="00AC41DA">
        <w:rPr>
          <w:color w:val="C00000"/>
          <w:sz w:val="24"/>
          <w:szCs w:val="24"/>
        </w:rPr>
        <w:t xml:space="preserve"> </w:t>
      </w:r>
      <w:r w:rsidR="00F21B41">
        <w:rPr>
          <w:sz w:val="24"/>
          <w:szCs w:val="24"/>
        </w:rPr>
        <w:t xml:space="preserve">Black type = Outcome indicator     </w:t>
      </w:r>
      <w:r w:rsidR="00F21B41" w:rsidRPr="00E506FB">
        <w:rPr>
          <w:i/>
          <w:color w:val="548DD4" w:themeColor="text2" w:themeTint="99"/>
          <w:sz w:val="24"/>
          <w:szCs w:val="24"/>
        </w:rPr>
        <w:t>Italicized blue type = output indicator</w:t>
      </w:r>
    </w:p>
    <w:p w:rsidR="00416CCD" w:rsidRDefault="00416CCD" w:rsidP="00F25BAC">
      <w:pPr>
        <w:shd w:val="clear" w:color="auto" w:fill="FFFFFF"/>
        <w:spacing w:after="0" w:line="240" w:lineRule="auto"/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548"/>
        <w:gridCol w:w="7920"/>
        <w:gridCol w:w="4140"/>
      </w:tblGrid>
      <w:tr w:rsidR="000516D9" w:rsidRPr="003C08AD" w:rsidTr="00E5609C">
        <w:trPr>
          <w:tblHeader/>
        </w:trPr>
        <w:tc>
          <w:tcPr>
            <w:tcW w:w="1548" w:type="dxa"/>
          </w:tcPr>
          <w:p w:rsidR="000516D9" w:rsidRPr="003C08AD" w:rsidRDefault="000516D9" w:rsidP="00AB45F2">
            <w:pPr>
              <w:spacing w:beforeLines="50" w:before="120"/>
              <w:jc w:val="center"/>
              <w:rPr>
                <w:b/>
              </w:rPr>
            </w:pPr>
            <w:r w:rsidRPr="003C08AD">
              <w:rPr>
                <w:b/>
              </w:rPr>
              <w:t>Objective</w:t>
            </w:r>
          </w:p>
        </w:tc>
        <w:tc>
          <w:tcPr>
            <w:tcW w:w="7920" w:type="dxa"/>
          </w:tcPr>
          <w:p w:rsidR="000516D9" w:rsidRPr="003C08AD" w:rsidRDefault="000516D9" w:rsidP="00AB45F2">
            <w:pPr>
              <w:spacing w:beforeLines="50" w:before="120"/>
              <w:jc w:val="center"/>
              <w:rPr>
                <w:b/>
              </w:rPr>
            </w:pPr>
            <w:r w:rsidRPr="003C08AD">
              <w:rPr>
                <w:b/>
              </w:rPr>
              <w:t>Indicator</w:t>
            </w:r>
            <w:r w:rsidR="007D5B50">
              <w:rPr>
                <w:b/>
              </w:rPr>
              <w:t xml:space="preserve"> Title</w:t>
            </w:r>
          </w:p>
        </w:tc>
        <w:tc>
          <w:tcPr>
            <w:tcW w:w="4140" w:type="dxa"/>
          </w:tcPr>
          <w:p w:rsidR="000516D9" w:rsidRPr="003C08AD" w:rsidRDefault="00F70D04" w:rsidP="00AB45F2">
            <w:pPr>
              <w:spacing w:beforeLines="50" w:before="120"/>
              <w:jc w:val="center"/>
              <w:rPr>
                <w:b/>
              </w:rPr>
            </w:pPr>
            <w:r>
              <w:rPr>
                <w:b/>
              </w:rPr>
              <w:t>Applicability</w:t>
            </w:r>
          </w:p>
        </w:tc>
      </w:tr>
      <w:tr w:rsidR="00022241" w:rsidTr="00E506FB">
        <w:tc>
          <w:tcPr>
            <w:tcW w:w="1548" w:type="dxa"/>
            <w:vMerge w:val="restart"/>
            <w:shd w:val="clear" w:color="auto" w:fill="F2F2F2" w:themeFill="background1" w:themeFillShade="F2"/>
            <w:vAlign w:val="center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  <w:r>
              <w:t>Reduced Food Insecurity in Vulnerable Populations</w:t>
            </w:r>
          </w:p>
        </w:tc>
        <w:tc>
          <w:tcPr>
            <w:tcW w:w="7920" w:type="dxa"/>
          </w:tcPr>
          <w:p w:rsidR="00022241" w:rsidRPr="00BC51A9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b/>
                <w:color w:val="C00000"/>
                <w:lang w:val="en"/>
              </w:rPr>
            </w:pPr>
            <w:r w:rsidRPr="00BC51A9">
              <w:rPr>
                <w:b/>
                <w:color w:val="C00000"/>
              </w:rPr>
              <w:t>#1 R- Prevalence of underweight children under five years of age</w:t>
            </w:r>
          </w:p>
        </w:tc>
        <w:tc>
          <w:tcPr>
            <w:tcW w:w="4140" w:type="dxa"/>
          </w:tcPr>
          <w:p w:rsidR="00022241" w:rsidRPr="00022241" w:rsidRDefault="00022241" w:rsidP="00922AB4">
            <w:pPr>
              <w:spacing w:beforeLines="80" w:before="192" w:afterLines="80" w:after="192"/>
              <w:rPr>
                <w:rFonts w:cstheme="minorHAnsi"/>
                <w:b/>
                <w:sz w:val="20"/>
                <w:szCs w:val="20"/>
              </w:rPr>
            </w:pPr>
            <w:r w:rsidRPr="00022241">
              <w:rPr>
                <w:rFonts w:cstheme="minorHAnsi"/>
                <w:b/>
                <w:sz w:val="20"/>
                <w:szCs w:val="20"/>
              </w:rPr>
              <w:t xml:space="preserve">Required for all projects 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</w:tcPr>
          <w:p w:rsidR="00022241" w:rsidRPr="00BC51A9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b/>
                <w:color w:val="C00000"/>
                <w:lang w:val="en"/>
              </w:rPr>
            </w:pPr>
            <w:r w:rsidRPr="00BC51A9">
              <w:rPr>
                <w:b/>
                <w:color w:val="C00000"/>
              </w:rPr>
              <w:t>#2 R-Prevalence of Poverty: Percent of people living on less than $1.25/day</w:t>
            </w:r>
          </w:p>
        </w:tc>
        <w:tc>
          <w:tcPr>
            <w:tcW w:w="4140" w:type="dxa"/>
          </w:tcPr>
          <w:p w:rsidR="00022241" w:rsidRPr="00022241" w:rsidRDefault="00022241" w:rsidP="00922AB4">
            <w:pPr>
              <w:spacing w:beforeLines="80" w:before="192" w:afterLines="80" w:after="192"/>
              <w:rPr>
                <w:rFonts w:cstheme="minorHAnsi"/>
                <w:b/>
                <w:sz w:val="20"/>
                <w:szCs w:val="20"/>
              </w:rPr>
            </w:pPr>
            <w:r w:rsidRPr="00022241">
              <w:rPr>
                <w:rFonts w:cstheme="minorHAnsi"/>
                <w:b/>
                <w:sz w:val="20"/>
                <w:szCs w:val="20"/>
              </w:rPr>
              <w:t xml:space="preserve">Required for all projects </w:t>
            </w:r>
          </w:p>
        </w:tc>
      </w:tr>
      <w:tr w:rsidR="00022241" w:rsidTr="00B02133">
        <w:tc>
          <w:tcPr>
            <w:tcW w:w="1548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  <w:tcBorders>
              <w:bottom w:val="single" w:sz="18" w:space="0" w:color="auto"/>
            </w:tcBorders>
          </w:tcPr>
          <w:p w:rsidR="00022241" w:rsidRPr="00BC51A9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b/>
                <w:color w:val="C00000"/>
                <w:lang w:val="en"/>
              </w:rPr>
            </w:pPr>
            <w:r w:rsidRPr="00BC51A9">
              <w:rPr>
                <w:b/>
                <w:color w:val="C00000"/>
              </w:rPr>
              <w:t>#3 R -Depth of Poverty: The mean percent shortfall relative to the $1.25 poverty line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022241" w:rsidRPr="00022241" w:rsidRDefault="00022241" w:rsidP="00922AB4">
            <w:pPr>
              <w:spacing w:beforeLines="80" w:before="192" w:afterLines="80" w:after="192"/>
              <w:rPr>
                <w:rFonts w:cstheme="minorHAnsi"/>
                <w:b/>
                <w:sz w:val="20"/>
                <w:szCs w:val="20"/>
              </w:rPr>
            </w:pPr>
            <w:r w:rsidRPr="00022241">
              <w:rPr>
                <w:rFonts w:cstheme="minorHAnsi"/>
                <w:b/>
                <w:sz w:val="20"/>
                <w:szCs w:val="20"/>
              </w:rPr>
              <w:t xml:space="preserve">Required for all projects </w:t>
            </w:r>
          </w:p>
        </w:tc>
      </w:tr>
      <w:tr w:rsidR="00022241" w:rsidTr="00B02133">
        <w:tc>
          <w:tcPr>
            <w:tcW w:w="1548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  <w:r>
              <w:t>Inclusive Agricultural Sector Growth</w:t>
            </w:r>
          </w:p>
        </w:tc>
        <w:tc>
          <w:tcPr>
            <w:tcW w:w="7920" w:type="dxa"/>
            <w:tcBorders>
              <w:top w:val="single" w:sz="18" w:space="0" w:color="auto"/>
            </w:tcBorders>
          </w:tcPr>
          <w:p w:rsidR="00022241" w:rsidRPr="000F27BB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b/>
                <w:color w:val="222222"/>
                <w:lang w:val="en"/>
              </w:rPr>
            </w:pPr>
            <w:r>
              <w:rPr>
                <w:b/>
              </w:rPr>
              <w:t>#</w:t>
            </w:r>
            <w:r w:rsidRPr="000F27BB">
              <w:rPr>
                <w:b/>
              </w:rPr>
              <w:t>5 R -Daily per capita expenditures (as a proxy for income) in USG‐assisted areas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022241" w:rsidRPr="00022241" w:rsidRDefault="00022241" w:rsidP="00922AB4">
            <w:pPr>
              <w:spacing w:beforeLines="80" w:before="192" w:afterLines="80" w:after="192"/>
              <w:rPr>
                <w:rFonts w:cstheme="minorHAnsi"/>
                <w:b/>
                <w:sz w:val="20"/>
                <w:szCs w:val="20"/>
              </w:rPr>
            </w:pPr>
            <w:r w:rsidRPr="00022241">
              <w:rPr>
                <w:rFonts w:cstheme="minorHAnsi"/>
                <w:b/>
                <w:sz w:val="20"/>
                <w:szCs w:val="20"/>
              </w:rPr>
              <w:t xml:space="preserve">Required for all projects 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</w:tcPr>
          <w:p w:rsidR="00022241" w:rsidRPr="00F21B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b/>
                <w:i/>
                <w:color w:val="222222"/>
                <w:lang w:val="en"/>
              </w:rPr>
            </w:pPr>
            <w:r w:rsidRPr="00BC51A9">
              <w:rPr>
                <w:b/>
                <w:i/>
                <w:color w:val="4F81BD" w:themeColor="accent1"/>
              </w:rPr>
              <w:t>#60 R - Proportion of female participants in USG‐assisted programs designed to increase access to productive economic resources (assets, credit, income or employment)</w:t>
            </w:r>
          </w:p>
        </w:tc>
        <w:tc>
          <w:tcPr>
            <w:tcW w:w="4140" w:type="dxa"/>
          </w:tcPr>
          <w:p w:rsidR="00022241" w:rsidRPr="00022241" w:rsidRDefault="00022241" w:rsidP="00922AB4">
            <w:pPr>
              <w:spacing w:beforeLines="80" w:before="192" w:afterLines="80" w:after="192"/>
              <w:rPr>
                <w:rFonts w:cstheme="minorHAnsi"/>
                <w:b/>
                <w:sz w:val="20"/>
                <w:szCs w:val="20"/>
              </w:rPr>
            </w:pPr>
            <w:r w:rsidRPr="00022241">
              <w:rPr>
                <w:rFonts w:cstheme="minorHAnsi"/>
                <w:b/>
                <w:sz w:val="20"/>
                <w:szCs w:val="20"/>
              </w:rPr>
              <w:t xml:space="preserve">Required for all projects 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  <w:r>
              <w:t>#61 RIA - Percentage of men and women who earned cash in the past 12 months</w:t>
            </w:r>
          </w:p>
        </w:tc>
        <w:tc>
          <w:tcPr>
            <w:tcW w:w="4140" w:type="dxa"/>
            <w:vMerge w:val="restart"/>
            <w:vAlign w:val="center"/>
          </w:tcPr>
          <w:p w:rsidR="00022241" w:rsidRPr="00DA19E6" w:rsidRDefault="00022241" w:rsidP="00DC3DFE">
            <w:pPr>
              <w:spacing w:beforeLines="80" w:before="192" w:afterLines="80" w:after="192"/>
              <w:rPr>
                <w:sz w:val="20"/>
                <w:szCs w:val="20"/>
              </w:rPr>
            </w:pPr>
            <w:r w:rsidRPr="00B02133">
              <w:rPr>
                <w:szCs w:val="20"/>
              </w:rPr>
              <w:t>Applicable for projects promoting agriculture and/or livelihoods interventions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  <w:r>
              <w:t>#62 RIA - Percentage of men/women in union and earning cash who make decisions alone about the use of self‐earned cash</w:t>
            </w:r>
          </w:p>
        </w:tc>
        <w:tc>
          <w:tcPr>
            <w:tcW w:w="4140" w:type="dxa"/>
            <w:vMerge/>
          </w:tcPr>
          <w:p w:rsidR="00022241" w:rsidRPr="00DA19E6" w:rsidRDefault="00022241" w:rsidP="00DC3DFE">
            <w:pPr>
              <w:spacing w:beforeLines="80" w:before="192" w:afterLines="80" w:after="192"/>
              <w:rPr>
                <w:sz w:val="20"/>
                <w:szCs w:val="20"/>
              </w:rPr>
            </w:pP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  <w:r>
              <w:t>#63 RIA - Percentage of men/women in union and earning cash who make decisions jointly with spouse/partner about the use of self‐earned cash</w:t>
            </w:r>
          </w:p>
        </w:tc>
        <w:tc>
          <w:tcPr>
            <w:tcW w:w="4140" w:type="dxa"/>
            <w:vMerge/>
          </w:tcPr>
          <w:p w:rsidR="00022241" w:rsidRPr="00DA19E6" w:rsidRDefault="00022241" w:rsidP="00DC3DFE">
            <w:pPr>
              <w:spacing w:beforeLines="80" w:before="192" w:afterLines="80" w:after="192"/>
              <w:rPr>
                <w:sz w:val="20"/>
                <w:szCs w:val="20"/>
              </w:rPr>
            </w:pPr>
          </w:p>
        </w:tc>
      </w:tr>
      <w:tr w:rsidR="00022241" w:rsidTr="00AB45F2">
        <w:trPr>
          <w:trHeight w:val="395"/>
        </w:trPr>
        <w:tc>
          <w:tcPr>
            <w:tcW w:w="1548" w:type="dxa"/>
            <w:vMerge w:val="restart"/>
            <w:shd w:val="clear" w:color="auto" w:fill="F2F2F2" w:themeFill="background1" w:themeFillShade="F2"/>
            <w:vAlign w:val="center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  <w:r>
              <w:lastRenderedPageBreak/>
              <w:t>Improved Nutritional Status, Especially of Women and Children</w:t>
            </w:r>
          </w:p>
        </w:tc>
        <w:tc>
          <w:tcPr>
            <w:tcW w:w="7920" w:type="dxa"/>
          </w:tcPr>
          <w:p w:rsidR="00022241" w:rsidRPr="000F27BB" w:rsidRDefault="00022241" w:rsidP="00DC3DFE">
            <w:pPr>
              <w:spacing w:beforeLines="80" w:before="192" w:afterLines="80" w:after="192"/>
              <w:rPr>
                <w:b/>
              </w:rPr>
            </w:pPr>
            <w:r w:rsidRPr="00386300">
              <w:rPr>
                <w:b/>
                <w:color w:val="C0504D" w:themeColor="accent2"/>
              </w:rPr>
              <w:t>#6 R  Prevalence of stunted children under five years of age</w:t>
            </w:r>
          </w:p>
        </w:tc>
        <w:tc>
          <w:tcPr>
            <w:tcW w:w="4140" w:type="dxa"/>
          </w:tcPr>
          <w:p w:rsidR="00022241" w:rsidRPr="00022241" w:rsidRDefault="00022241" w:rsidP="00922AB4">
            <w:pPr>
              <w:spacing w:beforeLines="80" w:before="192" w:afterLines="80" w:after="192"/>
              <w:rPr>
                <w:rFonts w:cstheme="minorHAnsi"/>
                <w:b/>
                <w:sz w:val="20"/>
                <w:szCs w:val="20"/>
              </w:rPr>
            </w:pPr>
            <w:r w:rsidRPr="00022241">
              <w:rPr>
                <w:rFonts w:cstheme="minorHAnsi"/>
                <w:b/>
                <w:sz w:val="20"/>
                <w:szCs w:val="20"/>
              </w:rPr>
              <w:t xml:space="preserve">Required for all projects 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</w:tcPr>
          <w:p w:rsidR="00022241" w:rsidRPr="00386300" w:rsidRDefault="00022241" w:rsidP="00DC3DFE">
            <w:pPr>
              <w:spacing w:beforeLines="80" w:before="192" w:afterLines="80" w:after="192"/>
              <w:rPr>
                <w:color w:val="C0504D" w:themeColor="accent2"/>
              </w:rPr>
            </w:pPr>
            <w:r w:rsidRPr="00386300">
              <w:rPr>
                <w:color w:val="C0504D" w:themeColor="accent2"/>
              </w:rPr>
              <w:t>#7 RIA  Prevalence of underweight women</w:t>
            </w:r>
          </w:p>
        </w:tc>
        <w:tc>
          <w:tcPr>
            <w:tcW w:w="4140" w:type="dxa"/>
            <w:vMerge w:val="restart"/>
            <w:vAlign w:val="center"/>
          </w:tcPr>
          <w:p w:rsidR="00022241" w:rsidRPr="00B02133" w:rsidRDefault="00022241" w:rsidP="00C45E2F">
            <w:pPr>
              <w:spacing w:beforeLines="80" w:before="192" w:afterLines="80" w:after="192"/>
              <w:rPr>
                <w:rFonts w:cstheme="minorHAnsi"/>
                <w:szCs w:val="20"/>
              </w:rPr>
            </w:pPr>
            <w:r w:rsidRPr="00B02133">
              <w:rPr>
                <w:rFonts w:cstheme="minorHAnsi"/>
                <w:szCs w:val="20"/>
              </w:rPr>
              <w:t>Applicable for all projects promoting MCHN interventions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</w:tcPr>
          <w:p w:rsidR="00022241" w:rsidRDefault="00022241" w:rsidP="00B02133">
            <w:pPr>
              <w:spacing w:beforeLines="50" w:before="120" w:afterLines="50" w:after="120"/>
            </w:pPr>
            <w:r>
              <w:t>#64 RIA    Percentage of men and women with children under two who have knowledge of maternal and child health and nutrition (MCHN) practices</w:t>
            </w:r>
          </w:p>
        </w:tc>
        <w:tc>
          <w:tcPr>
            <w:tcW w:w="4140" w:type="dxa"/>
            <w:vMerge/>
          </w:tcPr>
          <w:p w:rsidR="00022241" w:rsidRPr="00DA19E6" w:rsidRDefault="00022241" w:rsidP="00DC3DFE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</w:tcPr>
          <w:p w:rsidR="00022241" w:rsidRDefault="00022241" w:rsidP="00B02133">
            <w:pPr>
              <w:spacing w:beforeLines="50" w:before="120" w:afterLines="50" w:after="120"/>
            </w:pPr>
            <w:r>
              <w:t>#65 RIA    Percentage of men/women in union with children under two who make maternal health and nutrition decisions alone</w:t>
            </w:r>
          </w:p>
        </w:tc>
        <w:tc>
          <w:tcPr>
            <w:tcW w:w="4140" w:type="dxa"/>
            <w:vMerge/>
          </w:tcPr>
          <w:p w:rsidR="00022241" w:rsidRPr="00DA19E6" w:rsidRDefault="00022241" w:rsidP="00DC3DFE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</w:tcPr>
          <w:p w:rsidR="00022241" w:rsidRDefault="00022241" w:rsidP="00B02133">
            <w:pPr>
              <w:spacing w:beforeLines="50" w:before="120" w:afterLines="50" w:after="120"/>
            </w:pPr>
            <w:r>
              <w:t>#66 RIA    Percentage of men/women in union with children under two who make maternal health and nutrition decisions jointly with spouse/partner</w:t>
            </w:r>
          </w:p>
        </w:tc>
        <w:tc>
          <w:tcPr>
            <w:tcW w:w="4140" w:type="dxa"/>
            <w:vMerge/>
          </w:tcPr>
          <w:p w:rsidR="00022241" w:rsidRPr="00DA19E6" w:rsidRDefault="00022241" w:rsidP="00DC3DFE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</w:tcPr>
          <w:p w:rsidR="00022241" w:rsidRDefault="00022241" w:rsidP="00B02133">
            <w:pPr>
              <w:spacing w:beforeLines="50" w:before="120" w:afterLines="50" w:after="120"/>
            </w:pPr>
            <w:r>
              <w:t>#67 RIA    Percentage of men/women in union with children under two who make child health and nutrition decisions alone</w:t>
            </w:r>
          </w:p>
        </w:tc>
        <w:tc>
          <w:tcPr>
            <w:tcW w:w="4140" w:type="dxa"/>
            <w:vMerge/>
          </w:tcPr>
          <w:p w:rsidR="00022241" w:rsidRPr="00DA19E6" w:rsidRDefault="00022241" w:rsidP="00DC3DFE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</w:p>
        </w:tc>
      </w:tr>
      <w:tr w:rsidR="00022241" w:rsidTr="00B02133">
        <w:tc>
          <w:tcPr>
            <w:tcW w:w="1548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  <w:tcBorders>
              <w:bottom w:val="single" w:sz="18" w:space="0" w:color="auto"/>
            </w:tcBorders>
          </w:tcPr>
          <w:p w:rsidR="00022241" w:rsidRDefault="00022241" w:rsidP="00B02133">
            <w:pPr>
              <w:spacing w:beforeLines="50" w:before="120" w:afterLines="50" w:after="120"/>
            </w:pPr>
            <w:r>
              <w:t>#68 RIA    Percentage of men/women in union with children under two who make child health and nutrition decisions jointly with spouse/partner</w:t>
            </w:r>
          </w:p>
        </w:tc>
        <w:tc>
          <w:tcPr>
            <w:tcW w:w="4140" w:type="dxa"/>
            <w:vMerge/>
            <w:tcBorders>
              <w:bottom w:val="single" w:sz="18" w:space="0" w:color="auto"/>
            </w:tcBorders>
          </w:tcPr>
          <w:p w:rsidR="00022241" w:rsidRPr="00DA19E6" w:rsidRDefault="00022241" w:rsidP="00DC3DFE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</w:p>
        </w:tc>
      </w:tr>
      <w:tr w:rsidR="00022241" w:rsidTr="00B02133">
        <w:tc>
          <w:tcPr>
            <w:tcW w:w="154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  <w:r w:rsidRPr="004A7690">
              <w:t>Improved Agricultural Productivity</w:t>
            </w:r>
            <w:r>
              <w:rPr>
                <w:rFonts w:ascii="Arial" w:eastAsia="Times New Roman" w:hAnsi="Arial" w:cs="Arial"/>
                <w:color w:val="222222"/>
                <w:lang w:val="en"/>
              </w:rPr>
              <w:t xml:space="preserve"> </w:t>
            </w:r>
          </w:p>
        </w:tc>
        <w:tc>
          <w:tcPr>
            <w:tcW w:w="7920" w:type="dxa"/>
            <w:tcBorders>
              <w:top w:val="single" w:sz="18" w:space="0" w:color="auto"/>
            </w:tcBorders>
          </w:tcPr>
          <w:p w:rsidR="00022241" w:rsidRDefault="00022241" w:rsidP="00DC3DFE">
            <w:pPr>
              <w:spacing w:beforeLines="80" w:before="192" w:afterLines="80" w:after="192"/>
            </w:pPr>
            <w:r>
              <w:t>#8 RIA  Gross margin per hectare, animal or cage of selected product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022241" w:rsidRPr="00DA19E6" w:rsidRDefault="00022241" w:rsidP="00DC3DFE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all projects promoting value chain activities for selected commodities</w:t>
            </w:r>
          </w:p>
        </w:tc>
      </w:tr>
      <w:tr w:rsidR="00022241" w:rsidTr="00E506FB">
        <w:tc>
          <w:tcPr>
            <w:tcW w:w="1548" w:type="dxa"/>
            <w:vMerge w:val="restart"/>
            <w:shd w:val="clear" w:color="auto" w:fill="F2F2F2" w:themeFill="background1" w:themeFillShade="F2"/>
            <w:vAlign w:val="center"/>
          </w:tcPr>
          <w:p w:rsidR="00022241" w:rsidRPr="0074004D" w:rsidRDefault="00022241" w:rsidP="00DC3DFE">
            <w:pPr>
              <w:spacing w:beforeLines="80" w:before="192" w:afterLines="80" w:after="192"/>
            </w:pPr>
            <w:r w:rsidRPr="0074004D">
              <w:t>Enhanced Human and Institutional Capacity</w:t>
            </w:r>
            <w:r>
              <w:t xml:space="preserve"> </w:t>
            </w:r>
            <w:r w:rsidRPr="0074004D">
              <w:t>Development for Increased Agricultural</w:t>
            </w:r>
          </w:p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  <w:r w:rsidRPr="0074004D">
              <w:lastRenderedPageBreak/>
              <w:t>Sector Productivity</w:t>
            </w:r>
          </w:p>
        </w:tc>
        <w:tc>
          <w:tcPr>
            <w:tcW w:w="7920" w:type="dxa"/>
          </w:tcPr>
          <w:p w:rsidR="00022241" w:rsidRDefault="00022241" w:rsidP="00DC3DFE">
            <w:pPr>
              <w:spacing w:beforeLines="80" w:before="192" w:afterLines="80" w:after="192"/>
            </w:pPr>
            <w:r>
              <w:lastRenderedPageBreak/>
              <w:t>#9 RIA  Number of farmers and others who have applied improved technologies or management practices as a result of USG assistance</w:t>
            </w:r>
          </w:p>
        </w:tc>
        <w:tc>
          <w:tcPr>
            <w:tcW w:w="4140" w:type="dxa"/>
          </w:tcPr>
          <w:p w:rsidR="00022241" w:rsidRPr="00DA19E6" w:rsidRDefault="00022241" w:rsidP="00C45E2F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all projects promoting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Improved technologies or  management practices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</w:tcPr>
          <w:p w:rsidR="00022241" w:rsidRDefault="00022241" w:rsidP="00740FA7">
            <w:pPr>
              <w:spacing w:beforeLines="50" w:before="120" w:afterLines="50" w:after="120"/>
            </w:pPr>
            <w:r>
              <w:t>#10 RIA  Number of private enterprises, producers organizations, water users associations, women's groups, trade and business associations and community‐based organizations (CBOs) that applied improved technologies or management practices as a result of USG assistance</w:t>
            </w:r>
          </w:p>
        </w:tc>
        <w:tc>
          <w:tcPr>
            <w:tcW w:w="4140" w:type="dxa"/>
          </w:tcPr>
          <w:p w:rsidR="00022241" w:rsidRPr="00DA19E6" w:rsidRDefault="00022241" w:rsidP="00C45E2F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projects promoting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Improved technologies or management practices collectively as an organization, enterprise, group or association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</w:tcPr>
          <w:p w:rsidR="00022241" w:rsidRPr="001C0D22" w:rsidRDefault="00022241" w:rsidP="00DC3DFE">
            <w:pPr>
              <w:spacing w:beforeLines="80" w:before="192" w:afterLines="80" w:after="192"/>
              <w:rPr>
                <w:i/>
              </w:rPr>
            </w:pPr>
            <w:r w:rsidRPr="001C0D22">
              <w:rPr>
                <w:i/>
                <w:color w:val="244061" w:themeColor="accent1" w:themeShade="80"/>
              </w:rPr>
              <w:t>#11 RIA   Number of individuals who have received USG supported short‐term agricultural sector productivity or food security training</w:t>
            </w:r>
          </w:p>
        </w:tc>
        <w:tc>
          <w:tcPr>
            <w:tcW w:w="4140" w:type="dxa"/>
          </w:tcPr>
          <w:p w:rsidR="00022241" w:rsidRPr="00DA19E6" w:rsidRDefault="00022241" w:rsidP="00DC3DFE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all projects promoting short-term agricultural sector productivity or food security training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</w:tcPr>
          <w:p w:rsidR="00022241" w:rsidRPr="00F21B41" w:rsidRDefault="00022241" w:rsidP="00DC3DFE">
            <w:pPr>
              <w:spacing w:beforeLines="80" w:before="192" w:afterLines="80" w:after="192"/>
              <w:rPr>
                <w:i/>
                <w:color w:val="244061" w:themeColor="accent1" w:themeShade="80"/>
              </w:rPr>
            </w:pPr>
            <w:r w:rsidRPr="00F21B41">
              <w:rPr>
                <w:i/>
                <w:color w:val="244061" w:themeColor="accent1" w:themeShade="80"/>
              </w:rPr>
              <w:t>#12 RIA   Number of food security private enterprises (for profit), producers organizations, water users associations, women's groups, trade and business associations, and community‐based organizations (CBOs) receiving USG assistance</w:t>
            </w:r>
          </w:p>
        </w:tc>
        <w:tc>
          <w:tcPr>
            <w:tcW w:w="4140" w:type="dxa"/>
          </w:tcPr>
          <w:p w:rsidR="00022241" w:rsidRPr="00DA19E6" w:rsidRDefault="00022241" w:rsidP="00B0047D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projects assisting organizations, enterprises, groups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associations to achieve objectives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collectively</w:t>
            </w:r>
          </w:p>
        </w:tc>
      </w:tr>
      <w:tr w:rsidR="00022241" w:rsidTr="00B02133">
        <w:tc>
          <w:tcPr>
            <w:tcW w:w="1548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  <w:tcBorders>
              <w:bottom w:val="single" w:sz="18" w:space="0" w:color="auto"/>
            </w:tcBorders>
          </w:tcPr>
          <w:p w:rsidR="00022241" w:rsidRPr="00DF2CB4" w:rsidRDefault="00022241" w:rsidP="00DC3DFE">
            <w:pPr>
              <w:spacing w:beforeLines="80" w:before="192" w:afterLines="80" w:after="192"/>
              <w:rPr>
                <w:color w:val="244061" w:themeColor="accent1" w:themeShade="80"/>
              </w:rPr>
            </w:pPr>
            <w:r w:rsidRPr="00DF2CB4">
              <w:t>#13 RIA   Number of people implementing risk‐ reducing practices/actions to improve resilience to climate change as a result of USG assistance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022241" w:rsidRPr="00DA19E6" w:rsidRDefault="00022241" w:rsidP="00B0047D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projects implementing risk reduction activities and/ 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promoting resilience to climate change</w:t>
            </w:r>
          </w:p>
        </w:tc>
      </w:tr>
      <w:tr w:rsidR="00022241" w:rsidTr="00B02133">
        <w:tc>
          <w:tcPr>
            <w:tcW w:w="1548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  <w:r>
              <w:t xml:space="preserve">Enhanced Technology Development, Dissemination, </w:t>
            </w:r>
            <w:proofErr w:type="spellStart"/>
            <w:r>
              <w:t>Mgmt</w:t>
            </w:r>
            <w:proofErr w:type="spellEnd"/>
            <w:r>
              <w:t>, and Innovation</w:t>
            </w:r>
          </w:p>
        </w:tc>
        <w:tc>
          <w:tcPr>
            <w:tcW w:w="7920" w:type="dxa"/>
            <w:tcBorders>
              <w:top w:val="single" w:sz="18" w:space="0" w:color="auto"/>
            </w:tcBorders>
          </w:tcPr>
          <w:p w:rsidR="00022241" w:rsidRDefault="00022241" w:rsidP="00DC3DFE">
            <w:pPr>
              <w:spacing w:beforeLines="80" w:before="192" w:afterLines="80" w:after="192"/>
            </w:pPr>
            <w:r>
              <w:t>#14 RIA Percentage of farmers who used at least [a project‐ defined minimum number of] sustainable agriculture (crop, livestock, and/or NRM) practices and/or technologies in the past 12 months</w:t>
            </w:r>
          </w:p>
        </w:tc>
        <w:tc>
          <w:tcPr>
            <w:tcW w:w="4140" w:type="dxa"/>
            <w:vMerge w:val="restart"/>
            <w:tcBorders>
              <w:top w:val="single" w:sz="18" w:space="0" w:color="auto"/>
            </w:tcBorders>
            <w:vAlign w:val="center"/>
          </w:tcPr>
          <w:p w:rsidR="00022241" w:rsidRPr="00DA19E6" w:rsidRDefault="00022241" w:rsidP="00B0047D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all projects promoting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sustainable agriculture practices and/or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technologies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</w:tcPr>
          <w:p w:rsidR="00022241" w:rsidRDefault="00022241" w:rsidP="00DC3DFE">
            <w:pPr>
              <w:spacing w:beforeLines="80" w:before="192" w:afterLines="80" w:after="192"/>
            </w:pPr>
            <w:r>
              <w:t>#15 RIA  Number of hectares under improved technologies or management practices as a result of USG assistance</w:t>
            </w:r>
          </w:p>
        </w:tc>
        <w:tc>
          <w:tcPr>
            <w:tcW w:w="4140" w:type="dxa"/>
            <w:vMerge/>
          </w:tcPr>
          <w:p w:rsidR="00022241" w:rsidRPr="00DA19E6" w:rsidRDefault="00022241" w:rsidP="00DC3DFE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</w:p>
        </w:tc>
      </w:tr>
      <w:tr w:rsidR="00022241" w:rsidTr="00B02133">
        <w:tc>
          <w:tcPr>
            <w:tcW w:w="154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2241" w:rsidRPr="0011051C" w:rsidRDefault="00022241" w:rsidP="00DC3DFE">
            <w:pPr>
              <w:spacing w:beforeLines="80" w:before="192" w:afterLines="80" w:after="192"/>
            </w:pPr>
            <w:r w:rsidRPr="0011051C">
              <w:t xml:space="preserve">Expanding markets and Trade </w:t>
            </w:r>
          </w:p>
        </w:tc>
        <w:tc>
          <w:tcPr>
            <w:tcW w:w="7920" w:type="dxa"/>
            <w:tcBorders>
              <w:bottom w:val="single" w:sz="18" w:space="0" w:color="auto"/>
            </w:tcBorders>
          </w:tcPr>
          <w:p w:rsidR="00022241" w:rsidRDefault="00022241" w:rsidP="00DC3DFE">
            <w:pPr>
              <w:spacing w:beforeLines="80" w:before="192" w:afterLines="80" w:after="192"/>
            </w:pPr>
            <w:r>
              <w:t>#16 RIA  Value of incremental sales (collected at farm level) attributed to USG implementation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022241" w:rsidRPr="00DA19E6" w:rsidRDefault="00022241" w:rsidP="00DC3DFE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 xml:space="preserve">Applicable for all projects promoting value chain activities for selected commodities </w:t>
            </w:r>
          </w:p>
        </w:tc>
      </w:tr>
      <w:tr w:rsidR="00022241" w:rsidTr="00B02133">
        <w:tc>
          <w:tcPr>
            <w:tcW w:w="1548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  <w:r>
              <w:t>Improved Market Efficiency</w:t>
            </w:r>
          </w:p>
        </w:tc>
        <w:tc>
          <w:tcPr>
            <w:tcW w:w="7920" w:type="dxa"/>
            <w:tcBorders>
              <w:top w:val="single" w:sz="18" w:space="0" w:color="auto"/>
            </w:tcBorders>
          </w:tcPr>
          <w:p w:rsidR="00022241" w:rsidRDefault="00022241" w:rsidP="00DC3DFE">
            <w:pPr>
              <w:spacing w:beforeLines="80" w:before="192" w:afterLines="80" w:after="192"/>
            </w:pPr>
            <w:r>
              <w:t>#17 RIA  Percentage of farmers who used improved storage practices in the past 12 months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022241" w:rsidRPr="00DA19E6" w:rsidRDefault="00022241" w:rsidP="00E5624A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all projects promoting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improved storage practices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</w:p>
        </w:tc>
        <w:tc>
          <w:tcPr>
            <w:tcW w:w="7920" w:type="dxa"/>
          </w:tcPr>
          <w:p w:rsidR="00022241" w:rsidRPr="001D73E5" w:rsidRDefault="00022241" w:rsidP="00DC3DFE">
            <w:pPr>
              <w:spacing w:beforeLines="80" w:before="192" w:afterLines="80" w:after="192"/>
              <w:rPr>
                <w:i/>
              </w:rPr>
            </w:pPr>
            <w:r w:rsidRPr="001D73E5">
              <w:rPr>
                <w:i/>
                <w:color w:val="1F497D" w:themeColor="text2"/>
              </w:rPr>
              <w:t>#18 RIA  Total increase in installed storage capacity (m3)</w:t>
            </w:r>
          </w:p>
        </w:tc>
        <w:tc>
          <w:tcPr>
            <w:tcW w:w="4140" w:type="dxa"/>
          </w:tcPr>
          <w:p w:rsidR="00022241" w:rsidRPr="00DA19E6" w:rsidRDefault="00022241" w:rsidP="00B0047D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all projects promoting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construction or rehabilitation of storage space</w:t>
            </w:r>
          </w:p>
        </w:tc>
      </w:tr>
      <w:tr w:rsidR="00022241" w:rsidTr="00E506FB">
        <w:tc>
          <w:tcPr>
            <w:tcW w:w="1548" w:type="dxa"/>
            <w:vMerge w:val="restart"/>
            <w:shd w:val="clear" w:color="auto" w:fill="F2F2F2" w:themeFill="background1" w:themeFillShade="F2"/>
            <w:vAlign w:val="center"/>
          </w:tcPr>
          <w:p w:rsidR="00022241" w:rsidRDefault="00022241" w:rsidP="00DC3DFE">
            <w:pPr>
              <w:spacing w:beforeLines="80" w:before="192" w:afterLines="80" w:after="192"/>
              <w:rPr>
                <w:rFonts w:ascii="Arial" w:eastAsia="Times New Roman" w:hAnsi="Arial" w:cs="Arial"/>
                <w:color w:val="222222"/>
                <w:lang w:val="en"/>
              </w:rPr>
            </w:pPr>
            <w:r>
              <w:lastRenderedPageBreak/>
              <w:t>Improved Market Efficiency or Access to Services</w:t>
            </w:r>
          </w:p>
        </w:tc>
        <w:tc>
          <w:tcPr>
            <w:tcW w:w="7920" w:type="dxa"/>
          </w:tcPr>
          <w:p w:rsidR="00022241" w:rsidRPr="001D73E5" w:rsidRDefault="00022241" w:rsidP="00DC3DFE">
            <w:pPr>
              <w:spacing w:beforeLines="80" w:before="192" w:afterLines="80" w:after="192"/>
              <w:rPr>
                <w:i/>
                <w:color w:val="1F497D" w:themeColor="text2"/>
              </w:rPr>
            </w:pPr>
            <w:r w:rsidRPr="001D73E5">
              <w:rPr>
                <w:i/>
                <w:color w:val="1F497D" w:themeColor="text2"/>
              </w:rPr>
              <w:t>#19 RIA  Kilometers of roads improved or constructed</w:t>
            </w:r>
          </w:p>
        </w:tc>
        <w:tc>
          <w:tcPr>
            <w:tcW w:w="4140" w:type="dxa"/>
          </w:tcPr>
          <w:p w:rsidR="00022241" w:rsidRPr="00DA19E6" w:rsidRDefault="00022241" w:rsidP="00DC3DFE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all projects constructing or improving roads</w:t>
            </w:r>
          </w:p>
        </w:tc>
      </w:tr>
      <w:tr w:rsidR="00022241" w:rsidTr="00B02133">
        <w:tc>
          <w:tcPr>
            <w:tcW w:w="1548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  <w:tcBorders>
              <w:bottom w:val="single" w:sz="18" w:space="0" w:color="auto"/>
            </w:tcBorders>
          </w:tcPr>
          <w:p w:rsidR="00022241" w:rsidRPr="008D2452" w:rsidRDefault="00022241" w:rsidP="00DC3DFE">
            <w:pPr>
              <w:spacing w:beforeLines="80" w:before="192" w:afterLines="80" w:after="192"/>
              <w:rPr>
                <w:i/>
                <w:color w:val="1F497D" w:themeColor="text2"/>
              </w:rPr>
            </w:pPr>
            <w:r w:rsidRPr="008D2452">
              <w:rPr>
                <w:i/>
                <w:color w:val="1F497D" w:themeColor="text2"/>
              </w:rPr>
              <w:t>#20 RIA  Number of market infrastructures rehabilitated and/or constructed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022241" w:rsidRPr="00DA19E6" w:rsidRDefault="00022241" w:rsidP="00B0047D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projects rehabilitating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and/or constructing market infrastructures</w:t>
            </w:r>
          </w:p>
        </w:tc>
      </w:tr>
      <w:tr w:rsidR="00022241" w:rsidTr="00B02133">
        <w:tc>
          <w:tcPr>
            <w:tcW w:w="1548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2241" w:rsidRDefault="00022241" w:rsidP="00DC3DFE">
            <w:pPr>
              <w:spacing w:beforeLines="80" w:before="192" w:afterLines="80" w:after="192"/>
            </w:pPr>
            <w:r>
              <w:t>Improved Access to Business Development and Sound and Affordable Financial and Risk Management Services</w:t>
            </w:r>
          </w:p>
        </w:tc>
        <w:tc>
          <w:tcPr>
            <w:tcW w:w="7920" w:type="dxa"/>
            <w:tcBorders>
              <w:top w:val="single" w:sz="18" w:space="0" w:color="auto"/>
            </w:tcBorders>
          </w:tcPr>
          <w:p w:rsidR="00022241" w:rsidRDefault="00022241" w:rsidP="00DC3DFE">
            <w:pPr>
              <w:spacing w:beforeLines="80" w:before="192" w:afterLines="80" w:after="192"/>
            </w:pPr>
            <w:r>
              <w:t>#21 RIA  Percentage of farmers who used financial services (savings, agricultural credit, and/or agricultural insurance) in the past 12 months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022241" w:rsidRPr="00DA19E6" w:rsidRDefault="00022241" w:rsidP="00B0047D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all projects promoting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increased use of financial services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Default="00022241" w:rsidP="00DC3DFE">
            <w:pPr>
              <w:spacing w:beforeLines="80" w:before="192" w:afterLines="80" w:after="192"/>
            </w:pPr>
            <w:r>
              <w:t>#22 RIA  Percentage of farmers who practiced the value chain activities promoted by the project in the past 12 months</w:t>
            </w:r>
          </w:p>
        </w:tc>
        <w:tc>
          <w:tcPr>
            <w:tcW w:w="4140" w:type="dxa"/>
          </w:tcPr>
          <w:p w:rsidR="00022241" w:rsidRPr="00DA19E6" w:rsidRDefault="00022241" w:rsidP="00DC3DFE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all projects promoting value chain activities for selected commodities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Default="00022241" w:rsidP="00DC3DFE">
            <w:pPr>
              <w:spacing w:beforeLines="80" w:before="192" w:afterLines="80" w:after="192"/>
            </w:pPr>
            <w:r>
              <w:t>#23RIA  Value of Agricultural and Rural Loans</w:t>
            </w:r>
          </w:p>
        </w:tc>
        <w:tc>
          <w:tcPr>
            <w:tcW w:w="4140" w:type="dxa"/>
          </w:tcPr>
          <w:p w:rsidR="00022241" w:rsidRPr="00DA19E6" w:rsidRDefault="00022241" w:rsidP="00B0047D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all projects promoting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increased access to credit through financial institutions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07203F" w:rsidRDefault="00022241" w:rsidP="00DC3DFE">
            <w:pPr>
              <w:spacing w:beforeLines="80" w:before="192" w:afterLines="80" w:after="192"/>
              <w:rPr>
                <w:i/>
                <w:color w:val="1F497D" w:themeColor="text2"/>
              </w:rPr>
            </w:pPr>
            <w:r w:rsidRPr="0007203F">
              <w:rPr>
                <w:i/>
                <w:color w:val="1F497D" w:themeColor="text2"/>
              </w:rPr>
              <w:t>#24 RIA  Number of MSMEs, including farmers, receiving USG assistance to access loans</w:t>
            </w:r>
          </w:p>
        </w:tc>
        <w:tc>
          <w:tcPr>
            <w:tcW w:w="4140" w:type="dxa"/>
          </w:tcPr>
          <w:p w:rsidR="00022241" w:rsidRPr="00DA19E6" w:rsidRDefault="00022241" w:rsidP="00E5624A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projects facilitating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MSMEs' access to loans from formal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or informal financial institutions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07203F" w:rsidRDefault="00022241" w:rsidP="00DC3DFE">
            <w:pPr>
              <w:spacing w:beforeLines="80" w:before="192" w:afterLines="80" w:after="192"/>
              <w:rPr>
                <w:i/>
                <w:color w:val="1F497D" w:themeColor="text2"/>
              </w:rPr>
            </w:pPr>
            <w:r w:rsidRPr="0007203F">
              <w:rPr>
                <w:i/>
                <w:color w:val="1F497D" w:themeColor="text2"/>
              </w:rPr>
              <w:t>#25 RIA Number of MSMEs, including farmers, receiving business development services from USG-assisted sources</w:t>
            </w:r>
          </w:p>
        </w:tc>
        <w:tc>
          <w:tcPr>
            <w:tcW w:w="4140" w:type="dxa"/>
          </w:tcPr>
          <w:p w:rsidR="00022241" w:rsidRPr="00DA19E6" w:rsidRDefault="00022241" w:rsidP="00E5624A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projects providing business development services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MSMEs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07203F" w:rsidRDefault="00022241" w:rsidP="00DC3DFE">
            <w:pPr>
              <w:spacing w:beforeLines="80" w:before="192" w:afterLines="80" w:after="192"/>
              <w:rPr>
                <w:i/>
                <w:color w:val="1F497D" w:themeColor="text2"/>
              </w:rPr>
            </w:pPr>
            <w:r w:rsidRPr="0007203F">
              <w:rPr>
                <w:i/>
                <w:color w:val="1F497D" w:themeColor="text2"/>
              </w:rPr>
              <w:t>#26 RIA Number of MSMEs, including farmers, receiving FFP assistance to access savings programs</w:t>
            </w:r>
          </w:p>
        </w:tc>
        <w:tc>
          <w:tcPr>
            <w:tcW w:w="4140" w:type="dxa"/>
          </w:tcPr>
          <w:p w:rsidR="00022241" w:rsidRPr="00DA19E6" w:rsidRDefault="00022241" w:rsidP="00E5624A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projects facilitating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MSMEs' access to savings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Default="00022241" w:rsidP="00DC3DFE">
            <w:pPr>
              <w:spacing w:beforeLines="80" w:before="192" w:afterLines="80" w:after="192"/>
            </w:pPr>
            <w:r>
              <w:t>#27 RIA  Number of farmers who practiced the value chain activities promoted by the project</w:t>
            </w:r>
          </w:p>
        </w:tc>
        <w:tc>
          <w:tcPr>
            <w:tcW w:w="4140" w:type="dxa"/>
          </w:tcPr>
          <w:p w:rsidR="00022241" w:rsidRPr="00DA19E6" w:rsidRDefault="00022241" w:rsidP="00DB45CE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DA19E6">
              <w:rPr>
                <w:rFonts w:cstheme="minorHAnsi"/>
                <w:sz w:val="20"/>
                <w:szCs w:val="20"/>
              </w:rPr>
              <w:t>Applicable for projects implementing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value chain activities for selected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19E6">
              <w:rPr>
                <w:rFonts w:cstheme="minorHAnsi"/>
                <w:sz w:val="20"/>
                <w:szCs w:val="20"/>
              </w:rPr>
              <w:t>commodities</w:t>
            </w:r>
          </w:p>
        </w:tc>
      </w:tr>
      <w:tr w:rsidR="00022241" w:rsidTr="00E506FB">
        <w:tc>
          <w:tcPr>
            <w:tcW w:w="1548" w:type="dxa"/>
            <w:vMerge w:val="restart"/>
            <w:shd w:val="clear" w:color="auto" w:fill="F2F2F2" w:themeFill="background1" w:themeFillShade="F2"/>
            <w:vAlign w:val="center"/>
          </w:tcPr>
          <w:p w:rsidR="00022241" w:rsidRDefault="00022241" w:rsidP="0044475E">
            <w:pPr>
              <w:spacing w:beforeLines="80" w:before="192" w:afterLines="80" w:after="192"/>
            </w:pPr>
            <w:r>
              <w:lastRenderedPageBreak/>
              <w:t>Increased Resilience of Vulnerable Communities and Households</w:t>
            </w:r>
          </w:p>
        </w:tc>
        <w:tc>
          <w:tcPr>
            <w:tcW w:w="7920" w:type="dxa"/>
          </w:tcPr>
          <w:p w:rsidR="00022241" w:rsidRPr="00A86839" w:rsidRDefault="00022241" w:rsidP="0044475E">
            <w:pPr>
              <w:spacing w:beforeLines="80" w:before="192" w:afterLines="80" w:after="192"/>
              <w:rPr>
                <w:b/>
                <w:color w:val="C0504D" w:themeColor="accent2"/>
              </w:rPr>
            </w:pPr>
            <w:r w:rsidRPr="00A86839">
              <w:rPr>
                <w:b/>
                <w:color w:val="C0504D" w:themeColor="accent2"/>
              </w:rPr>
              <w:t>#28 R Prevalence of  households with moderate or severe hunger (Household</w:t>
            </w:r>
            <w:r>
              <w:rPr>
                <w:b/>
                <w:color w:val="C0504D" w:themeColor="accent2"/>
              </w:rPr>
              <w:t xml:space="preserve"> </w:t>
            </w:r>
            <w:r w:rsidRPr="00A86839">
              <w:rPr>
                <w:b/>
                <w:color w:val="C0504D" w:themeColor="accent2"/>
              </w:rPr>
              <w:t>Hunger Scale ‐ HHS)</w:t>
            </w:r>
          </w:p>
        </w:tc>
        <w:tc>
          <w:tcPr>
            <w:tcW w:w="4140" w:type="dxa"/>
          </w:tcPr>
          <w:p w:rsidR="00022241" w:rsidRPr="00022241" w:rsidRDefault="00022241" w:rsidP="00922AB4">
            <w:pPr>
              <w:spacing w:beforeLines="80" w:before="192" w:afterLines="80" w:after="192"/>
              <w:rPr>
                <w:rFonts w:cstheme="minorHAnsi"/>
                <w:b/>
                <w:sz w:val="20"/>
                <w:szCs w:val="20"/>
              </w:rPr>
            </w:pPr>
            <w:r w:rsidRPr="00022241">
              <w:rPr>
                <w:rFonts w:cstheme="minorHAnsi"/>
                <w:b/>
                <w:sz w:val="20"/>
                <w:szCs w:val="20"/>
              </w:rPr>
              <w:t xml:space="preserve">Required for all projects 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A86839" w:rsidRDefault="00022241" w:rsidP="00DC3DFE">
            <w:pPr>
              <w:spacing w:beforeLines="80" w:before="192" w:afterLines="80" w:after="192"/>
              <w:rPr>
                <w:b/>
                <w:color w:val="C0504D" w:themeColor="accent2"/>
              </w:rPr>
            </w:pPr>
            <w:r w:rsidRPr="00A86839">
              <w:rPr>
                <w:b/>
                <w:color w:val="C0504D" w:themeColor="accent2"/>
              </w:rPr>
              <w:t>#29  R Average Household Dietary Diversity Score (HDDS)</w:t>
            </w:r>
          </w:p>
        </w:tc>
        <w:tc>
          <w:tcPr>
            <w:tcW w:w="4140" w:type="dxa"/>
          </w:tcPr>
          <w:p w:rsidR="00022241" w:rsidRPr="00022241" w:rsidRDefault="00022241" w:rsidP="00922AB4">
            <w:pPr>
              <w:spacing w:beforeLines="80" w:before="192" w:afterLines="80" w:after="192"/>
              <w:rPr>
                <w:rFonts w:cstheme="minorHAnsi"/>
                <w:b/>
                <w:sz w:val="20"/>
                <w:szCs w:val="20"/>
              </w:rPr>
            </w:pPr>
            <w:r w:rsidRPr="00022241">
              <w:rPr>
                <w:rFonts w:cstheme="minorHAnsi"/>
                <w:b/>
                <w:sz w:val="20"/>
                <w:szCs w:val="20"/>
              </w:rPr>
              <w:t xml:space="preserve">Required for all projects 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C238C0" w:rsidRDefault="00022241" w:rsidP="00362355">
            <w:pPr>
              <w:spacing w:beforeLines="80" w:before="192" w:afterLines="80" w:after="192"/>
            </w:pPr>
            <w:r w:rsidRPr="00C238C0">
              <w:t>#30</w:t>
            </w:r>
            <w:r>
              <w:t xml:space="preserve"> RIA  Number of communities with disaster early warning and response (EWR) systems working effectively</w:t>
            </w:r>
          </w:p>
        </w:tc>
        <w:tc>
          <w:tcPr>
            <w:tcW w:w="4140" w:type="dxa"/>
            <w:vMerge w:val="restart"/>
            <w:vAlign w:val="center"/>
          </w:tcPr>
          <w:p w:rsidR="00022241" w:rsidRPr="002F074F" w:rsidRDefault="00022241" w:rsidP="00DB45CE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2F074F">
              <w:rPr>
                <w:rFonts w:cstheme="minorHAnsi"/>
                <w:sz w:val="20"/>
                <w:szCs w:val="20"/>
              </w:rPr>
              <w:t>Applicable for all projects promoting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F074F">
              <w:rPr>
                <w:rFonts w:cstheme="minorHAnsi"/>
                <w:sz w:val="20"/>
                <w:szCs w:val="20"/>
              </w:rPr>
              <w:t>community based EWR systems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BB475C" w:rsidRDefault="00022241" w:rsidP="00DC3DFE">
            <w:pPr>
              <w:spacing w:beforeLines="80" w:before="192" w:afterLines="80" w:after="192"/>
              <w:rPr>
                <w:i/>
              </w:rPr>
            </w:pPr>
            <w:r w:rsidRPr="00BB475C">
              <w:rPr>
                <w:i/>
                <w:color w:val="1F497D" w:themeColor="text2"/>
              </w:rPr>
              <w:t>#31 RIA  Number of people trained in disaster preparedness as a result of USG assistance</w:t>
            </w:r>
          </w:p>
        </w:tc>
        <w:tc>
          <w:tcPr>
            <w:tcW w:w="4140" w:type="dxa"/>
            <w:vMerge/>
          </w:tcPr>
          <w:p w:rsidR="00022241" w:rsidRPr="002F074F" w:rsidRDefault="00022241" w:rsidP="00DC3DFE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6E694B" w:rsidRDefault="00022241" w:rsidP="00DC3DFE">
            <w:pPr>
              <w:spacing w:beforeLines="80" w:before="192" w:afterLines="80" w:after="192"/>
              <w:rPr>
                <w:i/>
              </w:rPr>
            </w:pPr>
            <w:r w:rsidRPr="006E694B">
              <w:rPr>
                <w:i/>
                <w:color w:val="1F497D" w:themeColor="text2"/>
              </w:rPr>
              <w:t>#32 RIA  Number of people benefiting from USG‐supported social assistance programming</w:t>
            </w:r>
          </w:p>
        </w:tc>
        <w:tc>
          <w:tcPr>
            <w:tcW w:w="4140" w:type="dxa"/>
          </w:tcPr>
          <w:p w:rsidR="00022241" w:rsidRPr="002F074F" w:rsidRDefault="00022241" w:rsidP="00DC3DFE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2F074F">
              <w:rPr>
                <w:rFonts w:cstheme="minorHAnsi"/>
                <w:sz w:val="20"/>
                <w:szCs w:val="20"/>
              </w:rPr>
              <w:t>Applicable for all projects providing cash, food, or other in kind assistance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C238C0" w:rsidRDefault="00022241" w:rsidP="00DC3DFE">
            <w:pPr>
              <w:spacing w:beforeLines="80" w:before="192" w:afterLines="80" w:after="192"/>
            </w:pPr>
            <w:r w:rsidRPr="00C238C0">
              <w:t>#33</w:t>
            </w:r>
            <w:r>
              <w:t xml:space="preserve"> RIA  Number of USG social assistance beneficiaries participating in productive safety nets</w:t>
            </w:r>
          </w:p>
        </w:tc>
        <w:tc>
          <w:tcPr>
            <w:tcW w:w="4140" w:type="dxa"/>
          </w:tcPr>
          <w:p w:rsidR="00022241" w:rsidRPr="002F074F" w:rsidRDefault="00022241" w:rsidP="00DC3DFE">
            <w:pPr>
              <w:spacing w:beforeLines="80" w:before="192" w:afterLines="80" w:after="192"/>
              <w:rPr>
                <w:rFonts w:cstheme="minorHAnsi"/>
                <w:sz w:val="20"/>
                <w:szCs w:val="20"/>
              </w:rPr>
            </w:pPr>
            <w:r w:rsidRPr="002F074F">
              <w:rPr>
                <w:rFonts w:cstheme="minorHAnsi"/>
                <w:sz w:val="20"/>
                <w:szCs w:val="20"/>
              </w:rPr>
              <w:t>Applicable for all projects promoting conditional safety nets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CD1C7A" w:rsidRDefault="00022241" w:rsidP="00DC3DFE">
            <w:pPr>
              <w:spacing w:beforeLines="80" w:before="192" w:afterLines="80" w:after="192"/>
              <w:rPr>
                <w:b/>
                <w:i/>
                <w:color w:val="1F497D" w:themeColor="text2"/>
              </w:rPr>
            </w:pPr>
            <w:r w:rsidRPr="00CD1C7A">
              <w:rPr>
                <w:b/>
                <w:i/>
                <w:color w:val="1F497D" w:themeColor="text2"/>
              </w:rPr>
              <w:t>#34 R Number of vulnerable households benefiting directly from USG assistance</w:t>
            </w:r>
          </w:p>
        </w:tc>
        <w:tc>
          <w:tcPr>
            <w:tcW w:w="4140" w:type="dxa"/>
          </w:tcPr>
          <w:p w:rsidR="00022241" w:rsidRPr="00022241" w:rsidRDefault="00022241" w:rsidP="00DC3DFE">
            <w:pPr>
              <w:spacing w:beforeLines="80" w:before="192" w:afterLines="80" w:after="192"/>
              <w:rPr>
                <w:rFonts w:cstheme="minorHAnsi"/>
                <w:b/>
                <w:sz w:val="20"/>
                <w:szCs w:val="20"/>
              </w:rPr>
            </w:pPr>
            <w:r w:rsidRPr="00022241">
              <w:rPr>
                <w:rFonts w:cstheme="minorHAnsi"/>
                <w:b/>
                <w:sz w:val="20"/>
                <w:szCs w:val="20"/>
              </w:rPr>
              <w:t xml:space="preserve">Required for all projects </w:t>
            </w:r>
          </w:p>
        </w:tc>
      </w:tr>
      <w:tr w:rsidR="00022241" w:rsidTr="00B02133">
        <w:tc>
          <w:tcPr>
            <w:tcW w:w="1548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  <w:tcBorders>
              <w:bottom w:val="single" w:sz="18" w:space="0" w:color="auto"/>
            </w:tcBorders>
          </w:tcPr>
          <w:p w:rsidR="00022241" w:rsidRPr="00CD1C7A" w:rsidRDefault="00022241" w:rsidP="00DC3DFE">
            <w:pPr>
              <w:spacing w:beforeLines="80" w:before="192" w:afterLines="80" w:after="192"/>
              <w:rPr>
                <w:b/>
                <w:i/>
                <w:color w:val="1F497D" w:themeColor="text2"/>
              </w:rPr>
            </w:pPr>
            <w:r w:rsidRPr="00CD1C7A">
              <w:rPr>
                <w:b/>
                <w:i/>
                <w:color w:val="1F497D" w:themeColor="text2"/>
              </w:rPr>
              <w:t>#51 R Number of rural households benefiting directly from USG interventions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022241" w:rsidRPr="00022241" w:rsidRDefault="00022241" w:rsidP="00922AB4">
            <w:pPr>
              <w:spacing w:beforeLines="80" w:before="192" w:afterLines="80" w:after="192"/>
              <w:rPr>
                <w:rFonts w:cstheme="minorHAnsi"/>
                <w:b/>
                <w:sz w:val="20"/>
                <w:szCs w:val="20"/>
              </w:rPr>
            </w:pPr>
            <w:r w:rsidRPr="00022241">
              <w:rPr>
                <w:rFonts w:cstheme="minorHAnsi"/>
                <w:b/>
                <w:sz w:val="20"/>
                <w:szCs w:val="20"/>
              </w:rPr>
              <w:t xml:space="preserve">Required for all projects </w:t>
            </w:r>
          </w:p>
        </w:tc>
      </w:tr>
      <w:tr w:rsidR="00022241" w:rsidTr="00B02133">
        <w:trPr>
          <w:trHeight w:val="539"/>
        </w:trPr>
        <w:tc>
          <w:tcPr>
            <w:tcW w:w="1548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2241" w:rsidRDefault="00022241" w:rsidP="00DC3DFE">
            <w:pPr>
              <w:spacing w:beforeLines="80" w:before="192" w:afterLines="80" w:after="192"/>
            </w:pPr>
            <w:r>
              <w:t>Improved Access to Diverse and Quality Foods</w:t>
            </w:r>
          </w:p>
        </w:tc>
        <w:tc>
          <w:tcPr>
            <w:tcW w:w="7920" w:type="dxa"/>
            <w:tcBorders>
              <w:top w:val="single" w:sz="18" w:space="0" w:color="auto"/>
            </w:tcBorders>
          </w:tcPr>
          <w:p w:rsidR="00022241" w:rsidRPr="004714E8" w:rsidRDefault="00022241" w:rsidP="00DC3DFE">
            <w:pPr>
              <w:spacing w:beforeLines="80" w:before="192" w:afterLines="80" w:after="192"/>
            </w:pPr>
            <w:r w:rsidRPr="004714E8">
              <w:t xml:space="preserve">#4 </w:t>
            </w:r>
            <w:proofErr w:type="spellStart"/>
            <w:r w:rsidRPr="004714E8">
              <w:t>RiA</w:t>
            </w:r>
            <w:proofErr w:type="spellEnd"/>
            <w:r>
              <w:t xml:space="preserve"> Proportion of women of reproductive age who are consuming a minimum dietary diversity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022241" w:rsidRPr="002F074F" w:rsidRDefault="00022241" w:rsidP="00DB45CE">
            <w:pPr>
              <w:spacing w:beforeLines="80" w:before="192" w:afterLines="80" w:after="192"/>
              <w:rPr>
                <w:sz w:val="20"/>
                <w:szCs w:val="20"/>
              </w:rPr>
            </w:pPr>
            <w:r w:rsidRPr="002F074F">
              <w:rPr>
                <w:sz w:val="20"/>
                <w:szCs w:val="20"/>
              </w:rPr>
              <w:t>Applicable for all projects promoting</w:t>
            </w:r>
            <w:r>
              <w:rPr>
                <w:sz w:val="20"/>
                <w:szCs w:val="20"/>
              </w:rPr>
              <w:t xml:space="preserve"> </w:t>
            </w:r>
            <w:r w:rsidRPr="002F074F">
              <w:rPr>
                <w:sz w:val="20"/>
                <w:szCs w:val="20"/>
              </w:rPr>
              <w:t>increased dietary diversity among women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4714E8" w:rsidRDefault="00022241" w:rsidP="00E5624A">
            <w:pPr>
              <w:spacing w:beforeLines="80" w:before="192" w:afterLines="80" w:after="192"/>
            </w:pPr>
            <w:r w:rsidRPr="004714E8">
              <w:t xml:space="preserve">#35 </w:t>
            </w:r>
            <w:proofErr w:type="spellStart"/>
            <w:r w:rsidRPr="004714E8">
              <w:t>RiA</w:t>
            </w:r>
            <w:proofErr w:type="spellEnd"/>
            <w:r>
              <w:t xml:space="preserve"> Prevalence of children 6–23 months receiving a minimum acceptable diet (MAD)</w:t>
            </w:r>
          </w:p>
        </w:tc>
        <w:tc>
          <w:tcPr>
            <w:tcW w:w="4140" w:type="dxa"/>
          </w:tcPr>
          <w:p w:rsidR="00022241" w:rsidRPr="002F074F" w:rsidRDefault="00022241" w:rsidP="00362355">
            <w:pPr>
              <w:spacing w:beforeLines="80" w:before="192" w:afterLines="80" w:after="192"/>
              <w:rPr>
                <w:sz w:val="20"/>
                <w:szCs w:val="20"/>
              </w:rPr>
            </w:pPr>
            <w:r w:rsidRPr="00B3547A">
              <w:rPr>
                <w:sz w:val="20"/>
                <w:szCs w:val="20"/>
              </w:rPr>
              <w:t>Applicable for all</w:t>
            </w:r>
            <w:r>
              <w:rPr>
                <w:sz w:val="20"/>
                <w:szCs w:val="20"/>
              </w:rPr>
              <w:t xml:space="preserve"> </w:t>
            </w:r>
            <w:r w:rsidRPr="00B3547A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</w:t>
            </w:r>
            <w:r w:rsidRPr="00B3547A">
              <w:rPr>
                <w:sz w:val="20"/>
                <w:szCs w:val="20"/>
              </w:rPr>
              <w:t>promoting</w:t>
            </w:r>
            <w:r>
              <w:rPr>
                <w:sz w:val="20"/>
                <w:szCs w:val="20"/>
              </w:rPr>
              <w:t xml:space="preserve"> </w:t>
            </w:r>
            <w:r w:rsidRPr="00B3547A">
              <w:rPr>
                <w:sz w:val="20"/>
                <w:szCs w:val="20"/>
              </w:rPr>
              <w:t>feeding children</w:t>
            </w:r>
            <w:r>
              <w:rPr>
                <w:sz w:val="20"/>
                <w:szCs w:val="20"/>
              </w:rPr>
              <w:t xml:space="preserve"> </w:t>
            </w:r>
            <w:r w:rsidRPr="00B3547A">
              <w:rPr>
                <w:sz w:val="20"/>
                <w:szCs w:val="20"/>
              </w:rPr>
              <w:t>minimum</w:t>
            </w:r>
            <w:r>
              <w:rPr>
                <w:sz w:val="20"/>
                <w:szCs w:val="20"/>
              </w:rPr>
              <w:t xml:space="preserve"> </w:t>
            </w:r>
            <w:r w:rsidRPr="00B3547A">
              <w:rPr>
                <w:sz w:val="20"/>
                <w:szCs w:val="20"/>
              </w:rPr>
              <w:t>acceptable diet</w:t>
            </w:r>
          </w:p>
        </w:tc>
      </w:tr>
      <w:tr w:rsidR="00022241" w:rsidTr="006C19FA">
        <w:trPr>
          <w:trHeight w:val="962"/>
        </w:trPr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4714E8" w:rsidRDefault="00022241" w:rsidP="006C19FA">
            <w:pPr>
              <w:spacing w:beforeLines="50" w:before="120" w:afterLines="50" w:after="120"/>
            </w:pPr>
            <w:r>
              <w:t xml:space="preserve">#69 </w:t>
            </w:r>
            <w:proofErr w:type="spellStart"/>
            <w:r>
              <w:t>RiA</w:t>
            </w:r>
            <w:proofErr w:type="spellEnd"/>
            <w:r>
              <w:t xml:space="preserve"> Prevalence of women of reproductive age who consume targeted  nutrient rich value chain commodities</w:t>
            </w:r>
          </w:p>
        </w:tc>
        <w:tc>
          <w:tcPr>
            <w:tcW w:w="4140" w:type="dxa"/>
          </w:tcPr>
          <w:p w:rsidR="00022241" w:rsidRPr="00B3547A" w:rsidRDefault="00022241" w:rsidP="006C19FA">
            <w:pPr>
              <w:spacing w:beforeLines="50" w:before="120" w:afterLines="50" w:after="120"/>
              <w:rPr>
                <w:sz w:val="20"/>
                <w:szCs w:val="20"/>
              </w:rPr>
            </w:pPr>
            <w:r w:rsidRPr="0056231F">
              <w:rPr>
                <w:sz w:val="20"/>
                <w:szCs w:val="20"/>
              </w:rPr>
              <w:t>Applicable for</w:t>
            </w:r>
            <w:r>
              <w:rPr>
                <w:sz w:val="20"/>
                <w:szCs w:val="20"/>
              </w:rPr>
              <w:t xml:space="preserve"> </w:t>
            </w:r>
            <w:r w:rsidRPr="0056231F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</w:t>
            </w:r>
            <w:r w:rsidRPr="0056231F">
              <w:rPr>
                <w:sz w:val="20"/>
                <w:szCs w:val="20"/>
              </w:rPr>
              <w:t>promoting</w:t>
            </w:r>
            <w:r>
              <w:rPr>
                <w:sz w:val="20"/>
                <w:szCs w:val="20"/>
              </w:rPr>
              <w:t xml:space="preserve"> </w:t>
            </w:r>
            <w:r w:rsidRPr="0056231F">
              <w:rPr>
                <w:sz w:val="20"/>
                <w:szCs w:val="20"/>
              </w:rPr>
              <w:t>consumption of</w:t>
            </w:r>
            <w:r>
              <w:rPr>
                <w:sz w:val="20"/>
                <w:szCs w:val="20"/>
              </w:rPr>
              <w:t xml:space="preserve"> </w:t>
            </w:r>
            <w:r w:rsidRPr="0056231F">
              <w:rPr>
                <w:sz w:val="20"/>
                <w:szCs w:val="20"/>
              </w:rPr>
              <w:t>nutrient‐rich</w:t>
            </w:r>
            <w:r>
              <w:rPr>
                <w:sz w:val="20"/>
                <w:szCs w:val="20"/>
              </w:rPr>
              <w:t xml:space="preserve"> </w:t>
            </w:r>
            <w:r w:rsidRPr="0056231F">
              <w:rPr>
                <w:sz w:val="20"/>
                <w:szCs w:val="20"/>
              </w:rPr>
              <w:t>value chain</w:t>
            </w:r>
            <w:r>
              <w:rPr>
                <w:sz w:val="20"/>
                <w:szCs w:val="20"/>
              </w:rPr>
              <w:t xml:space="preserve"> c</w:t>
            </w:r>
            <w:r w:rsidRPr="0056231F">
              <w:rPr>
                <w:sz w:val="20"/>
                <w:szCs w:val="20"/>
              </w:rPr>
              <w:t>ommodities</w:t>
            </w:r>
            <w:r>
              <w:rPr>
                <w:sz w:val="20"/>
                <w:szCs w:val="20"/>
              </w:rPr>
              <w:t xml:space="preserve"> </w:t>
            </w:r>
            <w:r w:rsidRPr="0056231F">
              <w:rPr>
                <w:sz w:val="20"/>
                <w:szCs w:val="20"/>
              </w:rPr>
              <w:t>among women of</w:t>
            </w:r>
            <w:r>
              <w:rPr>
                <w:sz w:val="20"/>
                <w:szCs w:val="20"/>
              </w:rPr>
              <w:t xml:space="preserve"> </w:t>
            </w:r>
            <w:r w:rsidRPr="0056231F">
              <w:rPr>
                <w:sz w:val="20"/>
                <w:szCs w:val="20"/>
              </w:rPr>
              <w:t>reproductive age</w:t>
            </w:r>
          </w:p>
        </w:tc>
      </w:tr>
      <w:tr w:rsidR="00022241" w:rsidTr="00B02133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  <w:tcBorders>
              <w:bottom w:val="single" w:sz="18" w:space="0" w:color="auto"/>
            </w:tcBorders>
          </w:tcPr>
          <w:p w:rsidR="00022241" w:rsidRDefault="00022241" w:rsidP="00A0260B">
            <w:pPr>
              <w:spacing w:beforeLines="80" w:before="192" w:afterLines="80" w:after="192"/>
            </w:pPr>
            <w:r>
              <w:t xml:space="preserve">#70 </w:t>
            </w:r>
            <w:proofErr w:type="spellStart"/>
            <w:r>
              <w:t>RiA</w:t>
            </w:r>
            <w:proofErr w:type="spellEnd"/>
            <w:r>
              <w:t xml:space="preserve"> Prevalence of children 6‐23 months who consume targeted nutrient‐rich value chain commodities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022241" w:rsidRPr="0056231F" w:rsidRDefault="00022241" w:rsidP="00B02133">
            <w:pPr>
              <w:spacing w:beforeLines="80" w:before="192" w:afterLines="80" w:after="192"/>
              <w:rPr>
                <w:sz w:val="20"/>
                <w:szCs w:val="20"/>
              </w:rPr>
            </w:pPr>
            <w:r w:rsidRPr="009064BA">
              <w:rPr>
                <w:sz w:val="20"/>
                <w:szCs w:val="20"/>
              </w:rPr>
              <w:t>Applicable for</w:t>
            </w:r>
            <w:r>
              <w:rPr>
                <w:sz w:val="20"/>
                <w:szCs w:val="20"/>
              </w:rPr>
              <w:t xml:space="preserve"> </w:t>
            </w:r>
            <w:r w:rsidRPr="009064BA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</w:t>
            </w:r>
            <w:r w:rsidRPr="009064BA">
              <w:rPr>
                <w:sz w:val="20"/>
                <w:szCs w:val="20"/>
              </w:rPr>
              <w:t>promoting</w:t>
            </w:r>
            <w:r>
              <w:rPr>
                <w:sz w:val="20"/>
                <w:szCs w:val="20"/>
              </w:rPr>
              <w:t xml:space="preserve"> </w:t>
            </w:r>
            <w:r w:rsidRPr="009064BA">
              <w:rPr>
                <w:sz w:val="20"/>
                <w:szCs w:val="20"/>
              </w:rPr>
              <w:t>consumption of</w:t>
            </w:r>
            <w:r>
              <w:rPr>
                <w:sz w:val="20"/>
                <w:szCs w:val="20"/>
              </w:rPr>
              <w:t xml:space="preserve"> </w:t>
            </w:r>
            <w:r w:rsidRPr="009064BA">
              <w:rPr>
                <w:sz w:val="20"/>
                <w:szCs w:val="20"/>
              </w:rPr>
              <w:t>nutrient‐rich</w:t>
            </w:r>
            <w:r>
              <w:rPr>
                <w:sz w:val="20"/>
                <w:szCs w:val="20"/>
              </w:rPr>
              <w:t xml:space="preserve"> </w:t>
            </w:r>
            <w:r w:rsidRPr="009064BA">
              <w:rPr>
                <w:sz w:val="20"/>
                <w:szCs w:val="20"/>
              </w:rPr>
              <w:t>value chain</w:t>
            </w:r>
            <w:r>
              <w:rPr>
                <w:sz w:val="20"/>
                <w:szCs w:val="20"/>
              </w:rPr>
              <w:t xml:space="preserve"> c</w:t>
            </w:r>
            <w:r w:rsidRPr="009064BA">
              <w:rPr>
                <w:sz w:val="20"/>
                <w:szCs w:val="20"/>
              </w:rPr>
              <w:t>ommodities</w:t>
            </w:r>
            <w:r>
              <w:rPr>
                <w:sz w:val="20"/>
                <w:szCs w:val="20"/>
              </w:rPr>
              <w:t xml:space="preserve"> </w:t>
            </w:r>
            <w:r w:rsidRPr="009064BA">
              <w:rPr>
                <w:sz w:val="20"/>
                <w:szCs w:val="20"/>
              </w:rPr>
              <w:t>among children 6‐</w:t>
            </w:r>
            <w:r>
              <w:rPr>
                <w:sz w:val="20"/>
                <w:szCs w:val="20"/>
              </w:rPr>
              <w:t xml:space="preserve"> </w:t>
            </w:r>
            <w:r w:rsidRPr="009064BA">
              <w:rPr>
                <w:sz w:val="20"/>
                <w:szCs w:val="20"/>
              </w:rPr>
              <w:t>23 months age</w:t>
            </w:r>
          </w:p>
        </w:tc>
      </w:tr>
      <w:tr w:rsidR="00022241" w:rsidTr="00B02133">
        <w:tc>
          <w:tcPr>
            <w:tcW w:w="1548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2241" w:rsidRDefault="00022241" w:rsidP="00B02133">
            <w:pPr>
              <w:spacing w:beforeLines="80" w:before="192" w:afterLines="80" w:after="192"/>
            </w:pPr>
            <w:r>
              <w:t>Improved Nutrition‐Related Behaviors</w:t>
            </w:r>
          </w:p>
        </w:tc>
        <w:tc>
          <w:tcPr>
            <w:tcW w:w="7920" w:type="dxa"/>
            <w:tcBorders>
              <w:top w:val="single" w:sz="18" w:space="0" w:color="auto"/>
            </w:tcBorders>
          </w:tcPr>
          <w:p w:rsidR="00022241" w:rsidRPr="004714E8" w:rsidRDefault="00022241" w:rsidP="006C19FA">
            <w:pPr>
              <w:spacing w:beforeLines="50" w:before="120" w:afterLines="50" w:after="120"/>
            </w:pPr>
            <w:r w:rsidRPr="004714E8">
              <w:t xml:space="preserve">#37 </w:t>
            </w:r>
            <w:proofErr w:type="spellStart"/>
            <w:r w:rsidRPr="004714E8">
              <w:t>RiA</w:t>
            </w:r>
            <w:proofErr w:type="spellEnd"/>
            <w:r w:rsidRPr="004714E8">
              <w:t xml:space="preserve"> </w:t>
            </w:r>
            <w:r>
              <w:t xml:space="preserve"> Prevalence of exclusive breastfeeding of children under six months of age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022241" w:rsidRPr="002F074F" w:rsidRDefault="00022241" w:rsidP="006C19FA">
            <w:pPr>
              <w:spacing w:beforeLines="50" w:before="120" w:afterLines="50" w:after="120"/>
              <w:rPr>
                <w:sz w:val="20"/>
                <w:szCs w:val="20"/>
              </w:rPr>
            </w:pPr>
            <w:r w:rsidRPr="009A02A3">
              <w:rPr>
                <w:sz w:val="20"/>
                <w:szCs w:val="20"/>
              </w:rPr>
              <w:t>Applicable for all</w:t>
            </w:r>
            <w:r>
              <w:rPr>
                <w:sz w:val="20"/>
                <w:szCs w:val="20"/>
              </w:rPr>
              <w:t xml:space="preserve"> </w:t>
            </w:r>
            <w:r w:rsidRPr="009A02A3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</w:t>
            </w:r>
            <w:r w:rsidRPr="009A02A3">
              <w:rPr>
                <w:sz w:val="20"/>
                <w:szCs w:val="20"/>
              </w:rPr>
              <w:t>promoting</w:t>
            </w:r>
            <w:r>
              <w:rPr>
                <w:sz w:val="20"/>
                <w:szCs w:val="20"/>
              </w:rPr>
              <w:t xml:space="preserve"> </w:t>
            </w:r>
            <w:r w:rsidRPr="009A02A3">
              <w:rPr>
                <w:sz w:val="20"/>
                <w:szCs w:val="20"/>
              </w:rPr>
              <w:t>exclusive</w:t>
            </w:r>
            <w:r>
              <w:rPr>
                <w:sz w:val="20"/>
                <w:szCs w:val="20"/>
              </w:rPr>
              <w:t xml:space="preserve"> </w:t>
            </w:r>
            <w:r w:rsidRPr="009A02A3">
              <w:rPr>
                <w:sz w:val="20"/>
                <w:szCs w:val="20"/>
              </w:rPr>
              <w:t>breastfeeding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E5292C" w:rsidRDefault="00022241" w:rsidP="00DC3DFE">
            <w:pPr>
              <w:spacing w:beforeLines="80" w:before="192" w:afterLines="80" w:after="192"/>
              <w:rPr>
                <w:b/>
              </w:rPr>
            </w:pPr>
            <w:r w:rsidRPr="007E1D16">
              <w:t xml:space="preserve">#38 </w:t>
            </w:r>
            <w:proofErr w:type="spellStart"/>
            <w:r w:rsidRPr="007E1D16">
              <w:t>RiA</w:t>
            </w:r>
            <w:proofErr w:type="spellEnd"/>
            <w:r w:rsidRPr="007E1D16">
              <w:t xml:space="preserve"> Percentage of</w:t>
            </w:r>
            <w:r>
              <w:t xml:space="preserve"> </w:t>
            </w:r>
            <w:r w:rsidRPr="007E1D16">
              <w:t>children under</w:t>
            </w:r>
            <w:r>
              <w:t xml:space="preserve"> </w:t>
            </w:r>
            <w:r w:rsidRPr="007E1D16">
              <w:t>age five who had</w:t>
            </w:r>
            <w:r>
              <w:t xml:space="preserve"> </w:t>
            </w:r>
            <w:r w:rsidRPr="007E1D16">
              <w:t>diarrhea in the</w:t>
            </w:r>
            <w:r>
              <w:t xml:space="preserve"> </w:t>
            </w:r>
            <w:r w:rsidRPr="007E1D16">
              <w:t>prior two weeks</w:t>
            </w:r>
          </w:p>
        </w:tc>
        <w:tc>
          <w:tcPr>
            <w:tcW w:w="4140" w:type="dxa"/>
          </w:tcPr>
          <w:p w:rsidR="00022241" w:rsidRPr="00A663FF" w:rsidRDefault="00022241" w:rsidP="00DB45CE">
            <w:pPr>
              <w:spacing w:beforeLines="80" w:before="192" w:afterLines="80" w:after="192"/>
              <w:rPr>
                <w:sz w:val="20"/>
                <w:szCs w:val="20"/>
              </w:rPr>
            </w:pPr>
            <w:r w:rsidRPr="00A663FF">
              <w:rPr>
                <w:sz w:val="20"/>
                <w:szCs w:val="20"/>
              </w:rPr>
              <w:t>Applicable for all projects promoting</w:t>
            </w:r>
            <w:r>
              <w:rPr>
                <w:sz w:val="20"/>
                <w:szCs w:val="20"/>
              </w:rPr>
              <w:t xml:space="preserve"> </w:t>
            </w:r>
            <w:r w:rsidRPr="00A663FF">
              <w:rPr>
                <w:sz w:val="20"/>
                <w:szCs w:val="20"/>
              </w:rPr>
              <w:t>behavior change communication</w:t>
            </w:r>
            <w:r>
              <w:rPr>
                <w:sz w:val="20"/>
                <w:szCs w:val="20"/>
              </w:rPr>
              <w:t xml:space="preserve"> </w:t>
            </w:r>
            <w:r w:rsidRPr="00A663FF">
              <w:rPr>
                <w:sz w:val="20"/>
                <w:szCs w:val="20"/>
              </w:rPr>
              <w:t>related to WASH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457A83" w:rsidRDefault="00022241" w:rsidP="006C19FA">
            <w:pPr>
              <w:spacing w:beforeLines="80" w:before="192" w:afterLines="80" w:after="192"/>
            </w:pPr>
            <w:r w:rsidRPr="00457A83">
              <w:t xml:space="preserve">#39 </w:t>
            </w:r>
            <w:proofErr w:type="spellStart"/>
            <w:r w:rsidRPr="00457A83">
              <w:t>RiA</w:t>
            </w:r>
            <w:proofErr w:type="spellEnd"/>
            <w:r>
              <w:t xml:space="preserve"> Percent of children under five years old with diarrhea treated with Oral Rehydration Therapy (ORT)</w:t>
            </w:r>
          </w:p>
        </w:tc>
        <w:tc>
          <w:tcPr>
            <w:tcW w:w="4140" w:type="dxa"/>
          </w:tcPr>
          <w:p w:rsidR="00022241" w:rsidRPr="00A663FF" w:rsidRDefault="00022241" w:rsidP="00DC3DFE">
            <w:pPr>
              <w:spacing w:beforeLines="80" w:before="192" w:afterLines="80" w:after="192"/>
              <w:rPr>
                <w:sz w:val="20"/>
                <w:szCs w:val="20"/>
              </w:rPr>
            </w:pPr>
            <w:r w:rsidRPr="00457A83">
              <w:rPr>
                <w:sz w:val="20"/>
                <w:szCs w:val="20"/>
              </w:rPr>
              <w:t>Applicable for all</w:t>
            </w:r>
            <w:r>
              <w:rPr>
                <w:sz w:val="20"/>
                <w:szCs w:val="20"/>
              </w:rPr>
              <w:t xml:space="preserve"> </w:t>
            </w:r>
            <w:r w:rsidRPr="00457A83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</w:t>
            </w:r>
            <w:r w:rsidRPr="00457A83">
              <w:rPr>
                <w:sz w:val="20"/>
                <w:szCs w:val="20"/>
              </w:rPr>
              <w:t>promoting ORT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457A83" w:rsidRDefault="00022241" w:rsidP="00DC3DFE">
            <w:pPr>
              <w:spacing w:beforeLines="80" w:before="192" w:afterLines="80" w:after="192"/>
            </w:pPr>
            <w:r>
              <w:t xml:space="preserve">#40 </w:t>
            </w:r>
            <w:proofErr w:type="spellStart"/>
            <w:r>
              <w:t>RiA</w:t>
            </w:r>
            <w:proofErr w:type="spellEnd"/>
            <w:r>
              <w:t xml:space="preserve"> Percent of households using an improved drinking water source</w:t>
            </w:r>
          </w:p>
        </w:tc>
        <w:tc>
          <w:tcPr>
            <w:tcW w:w="4140" w:type="dxa"/>
            <w:vMerge w:val="restart"/>
          </w:tcPr>
          <w:p w:rsidR="00022241" w:rsidRPr="00A663FF" w:rsidRDefault="00022241" w:rsidP="00DB45CE">
            <w:pPr>
              <w:spacing w:beforeLines="80" w:before="192" w:afterLines="80" w:after="192"/>
              <w:rPr>
                <w:sz w:val="20"/>
                <w:szCs w:val="20"/>
              </w:rPr>
            </w:pPr>
            <w:r w:rsidRPr="007D0639">
              <w:rPr>
                <w:sz w:val="20"/>
                <w:szCs w:val="20"/>
              </w:rPr>
              <w:t>Applicable for all</w:t>
            </w:r>
            <w:r>
              <w:rPr>
                <w:sz w:val="20"/>
                <w:szCs w:val="20"/>
              </w:rPr>
              <w:t xml:space="preserve"> </w:t>
            </w:r>
            <w:r w:rsidRPr="007D0639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</w:t>
            </w:r>
            <w:r w:rsidRPr="007D0639">
              <w:rPr>
                <w:sz w:val="20"/>
                <w:szCs w:val="20"/>
              </w:rPr>
              <w:t>promoting</w:t>
            </w:r>
            <w:r>
              <w:rPr>
                <w:sz w:val="20"/>
                <w:szCs w:val="20"/>
              </w:rPr>
              <w:t xml:space="preserve"> </w:t>
            </w:r>
            <w:r w:rsidRPr="007D0639">
              <w:rPr>
                <w:sz w:val="20"/>
                <w:szCs w:val="20"/>
              </w:rPr>
              <w:t>Infrastructure</w:t>
            </w:r>
            <w:r>
              <w:rPr>
                <w:sz w:val="20"/>
                <w:szCs w:val="20"/>
              </w:rPr>
              <w:t xml:space="preserve"> </w:t>
            </w:r>
            <w:r w:rsidRPr="007D0639">
              <w:rPr>
                <w:sz w:val="20"/>
                <w:szCs w:val="20"/>
              </w:rPr>
              <w:t>related</w:t>
            </w:r>
            <w:r>
              <w:rPr>
                <w:sz w:val="20"/>
                <w:szCs w:val="20"/>
              </w:rPr>
              <w:t xml:space="preserve"> </w:t>
            </w:r>
            <w:r w:rsidRPr="007D0639">
              <w:rPr>
                <w:sz w:val="20"/>
                <w:szCs w:val="20"/>
              </w:rPr>
              <w:t>WASH</w:t>
            </w:r>
            <w:r>
              <w:rPr>
                <w:sz w:val="20"/>
                <w:szCs w:val="20"/>
              </w:rPr>
              <w:t xml:space="preserve"> </w:t>
            </w:r>
            <w:r w:rsidRPr="007D0639">
              <w:rPr>
                <w:sz w:val="20"/>
                <w:szCs w:val="20"/>
              </w:rPr>
              <w:t xml:space="preserve">interventions. </w:t>
            </w:r>
            <w:r w:rsidRPr="005621F2">
              <w:rPr>
                <w:i/>
                <w:sz w:val="20"/>
                <w:szCs w:val="20"/>
              </w:rPr>
              <w:t>For other projects, data will be collected but no targets required.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457A83" w:rsidRDefault="00022241" w:rsidP="00DC3DFE">
            <w:pPr>
              <w:spacing w:beforeLines="80" w:before="192" w:afterLines="80" w:after="192"/>
            </w:pPr>
            <w:r>
              <w:t xml:space="preserve">#41 </w:t>
            </w:r>
            <w:proofErr w:type="spellStart"/>
            <w:r>
              <w:t>RiA</w:t>
            </w:r>
            <w:proofErr w:type="spellEnd"/>
            <w:r>
              <w:t xml:space="preserve"> Percent of households using an improved sanitation facility</w:t>
            </w:r>
          </w:p>
        </w:tc>
        <w:tc>
          <w:tcPr>
            <w:tcW w:w="4140" w:type="dxa"/>
            <w:vMerge/>
          </w:tcPr>
          <w:p w:rsidR="00022241" w:rsidRPr="00A663FF" w:rsidRDefault="00022241" w:rsidP="00DC3DFE">
            <w:pPr>
              <w:spacing w:beforeLines="80" w:before="192" w:afterLines="80" w:after="192"/>
              <w:rPr>
                <w:sz w:val="20"/>
                <w:szCs w:val="20"/>
              </w:rPr>
            </w:pP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457A83" w:rsidRDefault="00022241" w:rsidP="00DC3DFE">
            <w:pPr>
              <w:spacing w:beforeLines="80" w:before="192" w:afterLines="80" w:after="192"/>
            </w:pPr>
            <w:r>
              <w:t xml:space="preserve">#44 </w:t>
            </w:r>
            <w:proofErr w:type="spellStart"/>
            <w:r>
              <w:t>RiA</w:t>
            </w:r>
            <w:proofErr w:type="spellEnd"/>
            <w:r>
              <w:t xml:space="preserve"> Percent of households that can obtain drinking water in less than 30 minutes (round trip)</w:t>
            </w:r>
          </w:p>
        </w:tc>
        <w:tc>
          <w:tcPr>
            <w:tcW w:w="4140" w:type="dxa"/>
            <w:vMerge/>
          </w:tcPr>
          <w:p w:rsidR="00022241" w:rsidRPr="000A416D" w:rsidRDefault="00022241" w:rsidP="00DC3DFE">
            <w:pPr>
              <w:spacing w:beforeLines="80" w:before="192" w:afterLines="80" w:after="192"/>
              <w:rPr>
                <w:sz w:val="20"/>
                <w:szCs w:val="20"/>
              </w:rPr>
            </w:pP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457A83" w:rsidRDefault="00022241" w:rsidP="00DC3DFE">
            <w:pPr>
              <w:spacing w:beforeLines="80" w:before="192" w:afterLines="80" w:after="192"/>
            </w:pPr>
            <w:r>
              <w:t xml:space="preserve">#42 </w:t>
            </w:r>
            <w:proofErr w:type="spellStart"/>
            <w:r>
              <w:t>RiA</w:t>
            </w:r>
            <w:proofErr w:type="spellEnd"/>
            <w:r>
              <w:t xml:space="preserve"> Percent of households with soap and water at a handwashing station  commonly used by family members</w:t>
            </w:r>
          </w:p>
        </w:tc>
        <w:tc>
          <w:tcPr>
            <w:tcW w:w="4140" w:type="dxa"/>
          </w:tcPr>
          <w:p w:rsidR="00022241" w:rsidRPr="000A416D" w:rsidRDefault="00022241" w:rsidP="00B02133">
            <w:pPr>
              <w:spacing w:beforeLines="80" w:before="192" w:afterLines="80" w:after="192"/>
              <w:rPr>
                <w:sz w:val="20"/>
                <w:szCs w:val="20"/>
              </w:rPr>
            </w:pPr>
            <w:r w:rsidRPr="000A416D">
              <w:rPr>
                <w:sz w:val="20"/>
                <w:szCs w:val="20"/>
              </w:rPr>
              <w:t>Applicable to all projects promoting</w:t>
            </w:r>
            <w:r>
              <w:rPr>
                <w:sz w:val="20"/>
                <w:szCs w:val="20"/>
              </w:rPr>
              <w:t xml:space="preserve"> </w:t>
            </w:r>
            <w:r w:rsidRPr="000A416D">
              <w:rPr>
                <w:sz w:val="20"/>
                <w:szCs w:val="20"/>
              </w:rPr>
              <w:t>behavior change communication</w:t>
            </w:r>
            <w:r>
              <w:rPr>
                <w:sz w:val="20"/>
                <w:szCs w:val="20"/>
              </w:rPr>
              <w:t xml:space="preserve"> </w:t>
            </w:r>
            <w:r w:rsidRPr="000A416D">
              <w:rPr>
                <w:sz w:val="20"/>
                <w:szCs w:val="20"/>
              </w:rPr>
              <w:t>related to WASH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457A83" w:rsidRDefault="00022241" w:rsidP="00DC3DFE">
            <w:pPr>
              <w:spacing w:beforeLines="80" w:before="192" w:afterLines="80" w:after="192"/>
            </w:pPr>
            <w:r>
              <w:t xml:space="preserve">#43 </w:t>
            </w:r>
            <w:proofErr w:type="spellStart"/>
            <w:r>
              <w:t>RiA</w:t>
            </w:r>
            <w:proofErr w:type="spellEnd"/>
            <w:r>
              <w:t xml:space="preserve"> Percent of households in target areas practicing correct use of recommended household water treatment technologies</w:t>
            </w:r>
          </w:p>
        </w:tc>
        <w:tc>
          <w:tcPr>
            <w:tcW w:w="4140" w:type="dxa"/>
          </w:tcPr>
          <w:p w:rsidR="00022241" w:rsidRPr="000A416D" w:rsidRDefault="00022241" w:rsidP="00DB45CE">
            <w:pPr>
              <w:spacing w:beforeLines="80" w:before="192" w:afterLines="80" w:after="192"/>
              <w:rPr>
                <w:sz w:val="20"/>
                <w:szCs w:val="20"/>
              </w:rPr>
            </w:pPr>
            <w:r w:rsidRPr="000A416D">
              <w:rPr>
                <w:sz w:val="20"/>
                <w:szCs w:val="20"/>
              </w:rPr>
              <w:t>Applicable for</w:t>
            </w:r>
            <w:r>
              <w:rPr>
                <w:sz w:val="20"/>
                <w:szCs w:val="20"/>
              </w:rPr>
              <w:t xml:space="preserve"> </w:t>
            </w:r>
            <w:r w:rsidRPr="000A416D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</w:t>
            </w:r>
            <w:r w:rsidRPr="000A416D">
              <w:rPr>
                <w:sz w:val="20"/>
                <w:szCs w:val="20"/>
              </w:rPr>
              <w:t>promoting</w:t>
            </w:r>
            <w:r>
              <w:rPr>
                <w:sz w:val="20"/>
                <w:szCs w:val="20"/>
              </w:rPr>
              <w:t xml:space="preserve"> </w:t>
            </w:r>
            <w:r w:rsidRPr="000A416D">
              <w:rPr>
                <w:sz w:val="20"/>
                <w:szCs w:val="20"/>
              </w:rPr>
              <w:t>behaviors related</w:t>
            </w:r>
            <w:r>
              <w:rPr>
                <w:sz w:val="20"/>
                <w:szCs w:val="20"/>
              </w:rPr>
              <w:t xml:space="preserve"> </w:t>
            </w:r>
            <w:r w:rsidRPr="000A416D">
              <w:rPr>
                <w:sz w:val="20"/>
                <w:szCs w:val="20"/>
              </w:rPr>
              <w:t>to water</w:t>
            </w:r>
            <w:r>
              <w:rPr>
                <w:sz w:val="20"/>
                <w:szCs w:val="20"/>
              </w:rPr>
              <w:t xml:space="preserve"> </w:t>
            </w:r>
            <w:r w:rsidRPr="000A416D">
              <w:rPr>
                <w:sz w:val="20"/>
                <w:szCs w:val="20"/>
              </w:rPr>
              <w:t>treatment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457A83" w:rsidRDefault="00022241" w:rsidP="008872AB">
            <w:pPr>
              <w:spacing w:beforeLines="80" w:before="192" w:afterLines="50" w:after="120"/>
            </w:pPr>
            <w:r>
              <w:t xml:space="preserve">#45 </w:t>
            </w:r>
            <w:proofErr w:type="spellStart"/>
            <w:r>
              <w:t>RiA</w:t>
            </w:r>
            <w:proofErr w:type="spellEnd"/>
            <w:r>
              <w:t xml:space="preserve">  Percent of population in target areas practicing open defecation</w:t>
            </w:r>
          </w:p>
        </w:tc>
        <w:tc>
          <w:tcPr>
            <w:tcW w:w="4140" w:type="dxa"/>
            <w:vMerge w:val="restart"/>
          </w:tcPr>
          <w:p w:rsidR="00022241" w:rsidRPr="000A416D" w:rsidRDefault="00022241" w:rsidP="00DB45CE">
            <w:pPr>
              <w:spacing w:beforeLines="80" w:before="192" w:afterLines="80" w:after="192"/>
              <w:rPr>
                <w:sz w:val="20"/>
                <w:szCs w:val="20"/>
              </w:rPr>
            </w:pPr>
            <w:r w:rsidRPr="005621F2">
              <w:rPr>
                <w:sz w:val="20"/>
                <w:szCs w:val="20"/>
              </w:rPr>
              <w:t>Applicable for</w:t>
            </w:r>
            <w:r>
              <w:rPr>
                <w:sz w:val="20"/>
                <w:szCs w:val="20"/>
              </w:rPr>
              <w:t xml:space="preserve"> </w:t>
            </w:r>
            <w:r w:rsidRPr="005621F2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</w:t>
            </w:r>
            <w:r w:rsidRPr="005621F2">
              <w:rPr>
                <w:sz w:val="20"/>
                <w:szCs w:val="20"/>
              </w:rPr>
              <w:t>promoting safe</w:t>
            </w:r>
            <w:r>
              <w:rPr>
                <w:sz w:val="20"/>
                <w:szCs w:val="20"/>
              </w:rPr>
              <w:t xml:space="preserve"> s</w:t>
            </w:r>
            <w:r w:rsidRPr="005621F2">
              <w:rPr>
                <w:sz w:val="20"/>
                <w:szCs w:val="20"/>
              </w:rPr>
              <w:t>anitation</w:t>
            </w:r>
            <w:r>
              <w:rPr>
                <w:sz w:val="20"/>
                <w:szCs w:val="20"/>
              </w:rPr>
              <w:t xml:space="preserve"> </w:t>
            </w:r>
            <w:r w:rsidRPr="005621F2">
              <w:rPr>
                <w:sz w:val="20"/>
                <w:szCs w:val="20"/>
              </w:rPr>
              <w:t>behaviors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457A83" w:rsidRDefault="00022241" w:rsidP="008872AB">
            <w:pPr>
              <w:spacing w:beforeLines="80" w:before="192" w:afterLines="50" w:after="120"/>
            </w:pPr>
            <w:r>
              <w:t xml:space="preserve">#46 </w:t>
            </w:r>
            <w:proofErr w:type="spellStart"/>
            <w:r>
              <w:t>RiA</w:t>
            </w:r>
            <w:proofErr w:type="spellEnd"/>
            <w:r>
              <w:t xml:space="preserve">  Percent of physically improved sanitation facilities with feces visibly present on the floor, wall, or area immediately surrounding the facility</w:t>
            </w:r>
          </w:p>
        </w:tc>
        <w:tc>
          <w:tcPr>
            <w:tcW w:w="4140" w:type="dxa"/>
            <w:vMerge/>
          </w:tcPr>
          <w:p w:rsidR="00022241" w:rsidRPr="002F074F" w:rsidRDefault="00022241" w:rsidP="00DC3DFE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457A83" w:rsidRDefault="00022241" w:rsidP="008872AB">
            <w:pPr>
              <w:spacing w:beforeLines="80" w:before="192" w:afterLines="50" w:after="120"/>
            </w:pPr>
            <w:r>
              <w:t xml:space="preserve">#47 </w:t>
            </w:r>
            <w:proofErr w:type="spellStart"/>
            <w:r>
              <w:t>RiA</w:t>
            </w:r>
            <w:proofErr w:type="spellEnd"/>
            <w:r>
              <w:t xml:space="preserve">  Number of people gaining access to an improved drinking water source</w:t>
            </w:r>
          </w:p>
        </w:tc>
        <w:tc>
          <w:tcPr>
            <w:tcW w:w="4140" w:type="dxa"/>
            <w:vMerge w:val="restart"/>
          </w:tcPr>
          <w:p w:rsidR="00022241" w:rsidRPr="00A77E28" w:rsidRDefault="00022241" w:rsidP="00DC3DFE">
            <w:pPr>
              <w:spacing w:beforeLines="80" w:before="192" w:afterLines="80" w:after="192"/>
              <w:rPr>
                <w:sz w:val="20"/>
                <w:szCs w:val="20"/>
              </w:rPr>
            </w:pPr>
            <w:r w:rsidRPr="00A77E28">
              <w:rPr>
                <w:sz w:val="20"/>
                <w:szCs w:val="20"/>
              </w:rPr>
              <w:t>Applicable for all projects promoting infrastructure related WASH interventions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457A83" w:rsidRDefault="00022241" w:rsidP="008872AB">
            <w:pPr>
              <w:spacing w:beforeLines="80" w:before="192" w:afterLines="50" w:after="120"/>
            </w:pPr>
            <w:r>
              <w:t xml:space="preserve">#48 </w:t>
            </w:r>
            <w:proofErr w:type="spellStart"/>
            <w:r>
              <w:t>RiA</w:t>
            </w:r>
            <w:proofErr w:type="spellEnd"/>
            <w:r>
              <w:t xml:space="preserve">  Number of people gaining access to an improved sanitation facility</w:t>
            </w:r>
          </w:p>
        </w:tc>
        <w:tc>
          <w:tcPr>
            <w:tcW w:w="4140" w:type="dxa"/>
            <w:vMerge/>
          </w:tcPr>
          <w:p w:rsidR="00022241" w:rsidRPr="002F074F" w:rsidRDefault="00022241" w:rsidP="00DC3DFE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BF4399" w:rsidRDefault="00022241" w:rsidP="008872AB">
            <w:pPr>
              <w:spacing w:beforeLines="80" w:before="192" w:afterLines="50" w:after="120"/>
              <w:rPr>
                <w:i/>
                <w:color w:val="4F81BD" w:themeColor="accent1"/>
              </w:rPr>
            </w:pPr>
            <w:r w:rsidRPr="00BF4399">
              <w:rPr>
                <w:i/>
                <w:color w:val="4F81BD" w:themeColor="accent1"/>
              </w:rPr>
              <w:t>#4</w:t>
            </w:r>
            <w:r>
              <w:rPr>
                <w:i/>
                <w:color w:val="4F81BD" w:themeColor="accent1"/>
              </w:rPr>
              <w:t>9</w:t>
            </w:r>
            <w:r w:rsidRPr="00BF4399">
              <w:rPr>
                <w:i/>
                <w:color w:val="4F81BD" w:themeColor="accent1"/>
              </w:rPr>
              <w:t xml:space="preserve"> </w:t>
            </w:r>
            <w:proofErr w:type="spellStart"/>
            <w:r w:rsidRPr="00BF4399">
              <w:rPr>
                <w:i/>
                <w:color w:val="4F81BD" w:themeColor="accent1"/>
              </w:rPr>
              <w:t>RiA</w:t>
            </w:r>
            <w:proofErr w:type="spellEnd"/>
            <w:r w:rsidRPr="00BF4399">
              <w:rPr>
                <w:i/>
                <w:color w:val="4F81BD" w:themeColor="accent1"/>
              </w:rPr>
              <w:t xml:space="preserve">  </w:t>
            </w:r>
            <w:r w:rsidRPr="006433FB">
              <w:rPr>
                <w:i/>
                <w:color w:val="4F81BD" w:themeColor="accent1"/>
              </w:rPr>
              <w:t>Number of</w:t>
            </w:r>
            <w:r>
              <w:rPr>
                <w:i/>
                <w:color w:val="4F81BD" w:themeColor="accent1"/>
              </w:rPr>
              <w:t xml:space="preserve"> </w:t>
            </w:r>
            <w:r w:rsidRPr="006433FB">
              <w:rPr>
                <w:i/>
                <w:color w:val="4F81BD" w:themeColor="accent1"/>
              </w:rPr>
              <w:t>improved toilets</w:t>
            </w:r>
            <w:r>
              <w:rPr>
                <w:i/>
                <w:color w:val="4F81BD" w:themeColor="accent1"/>
              </w:rPr>
              <w:t xml:space="preserve"> </w:t>
            </w:r>
            <w:r w:rsidRPr="006433FB">
              <w:rPr>
                <w:i/>
                <w:color w:val="4F81BD" w:themeColor="accent1"/>
              </w:rPr>
              <w:t>provided in</w:t>
            </w:r>
            <w:r>
              <w:rPr>
                <w:i/>
                <w:color w:val="4F81BD" w:themeColor="accent1"/>
              </w:rPr>
              <w:t xml:space="preserve"> </w:t>
            </w:r>
            <w:r w:rsidRPr="006433FB">
              <w:rPr>
                <w:i/>
                <w:color w:val="4F81BD" w:themeColor="accent1"/>
              </w:rPr>
              <w:t>institutional</w:t>
            </w:r>
            <w:r>
              <w:rPr>
                <w:i/>
                <w:color w:val="4F81BD" w:themeColor="accent1"/>
              </w:rPr>
              <w:t xml:space="preserve"> </w:t>
            </w:r>
            <w:r w:rsidRPr="006433FB">
              <w:rPr>
                <w:i/>
                <w:color w:val="4F81BD" w:themeColor="accent1"/>
              </w:rPr>
              <w:t>settings</w:t>
            </w:r>
          </w:p>
        </w:tc>
        <w:tc>
          <w:tcPr>
            <w:tcW w:w="4140" w:type="dxa"/>
          </w:tcPr>
          <w:p w:rsidR="00022241" w:rsidRPr="002F074F" w:rsidRDefault="00022241" w:rsidP="00DB45CE">
            <w:pPr>
              <w:spacing w:beforeLines="80" w:before="192" w:afterLines="80" w:after="192"/>
              <w:rPr>
                <w:b/>
                <w:sz w:val="20"/>
                <w:szCs w:val="20"/>
              </w:rPr>
            </w:pPr>
            <w:r w:rsidRPr="00786DB8">
              <w:rPr>
                <w:sz w:val="20"/>
                <w:szCs w:val="20"/>
              </w:rPr>
              <w:t>Applicable for projects providing toilets</w:t>
            </w:r>
            <w:r>
              <w:rPr>
                <w:sz w:val="20"/>
                <w:szCs w:val="20"/>
              </w:rPr>
              <w:t xml:space="preserve"> </w:t>
            </w:r>
            <w:r w:rsidRPr="00786DB8">
              <w:rPr>
                <w:sz w:val="20"/>
                <w:szCs w:val="20"/>
              </w:rPr>
              <w:t>in institutional settings</w:t>
            </w:r>
          </w:p>
        </w:tc>
      </w:tr>
      <w:tr w:rsidR="00022241" w:rsidTr="00B02133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  <w:tcBorders>
              <w:bottom w:val="single" w:sz="18" w:space="0" w:color="auto"/>
            </w:tcBorders>
          </w:tcPr>
          <w:p w:rsidR="00022241" w:rsidRPr="00BF4399" w:rsidRDefault="00022241" w:rsidP="008872AB">
            <w:pPr>
              <w:spacing w:beforeLines="80" w:before="192" w:afterLines="50" w:after="120"/>
              <w:rPr>
                <w:i/>
                <w:color w:val="4F81BD" w:themeColor="accent1"/>
              </w:rPr>
            </w:pPr>
            <w:r w:rsidRPr="008B7C7E">
              <w:t>#50</w:t>
            </w:r>
            <w:r>
              <w:t xml:space="preserve"> </w:t>
            </w:r>
            <w:proofErr w:type="spellStart"/>
            <w:r>
              <w:t>RiA</w:t>
            </w:r>
            <w:proofErr w:type="spellEnd"/>
            <w:r>
              <w:t xml:space="preserve"> Number of communities certified as “open defecation free” (ODF) as a result of USG assistance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022241" w:rsidRPr="00786DB8" w:rsidRDefault="00022241" w:rsidP="00DC3DFE">
            <w:pPr>
              <w:spacing w:beforeLines="80" w:before="192" w:afterLines="80" w:after="192"/>
              <w:rPr>
                <w:sz w:val="20"/>
                <w:szCs w:val="20"/>
              </w:rPr>
            </w:pPr>
            <w:r w:rsidRPr="008B7C7E">
              <w:rPr>
                <w:sz w:val="20"/>
                <w:szCs w:val="20"/>
              </w:rPr>
              <w:t>Applicable for</w:t>
            </w:r>
            <w:r>
              <w:rPr>
                <w:sz w:val="20"/>
                <w:szCs w:val="20"/>
              </w:rPr>
              <w:t xml:space="preserve"> </w:t>
            </w:r>
            <w:r w:rsidRPr="008B7C7E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</w:t>
            </w:r>
            <w:r w:rsidRPr="008B7C7E">
              <w:rPr>
                <w:sz w:val="20"/>
                <w:szCs w:val="20"/>
              </w:rPr>
              <w:t xml:space="preserve">promoting </w:t>
            </w:r>
            <w:r>
              <w:rPr>
                <w:sz w:val="20"/>
                <w:szCs w:val="20"/>
              </w:rPr>
              <w:t xml:space="preserve">ODF </w:t>
            </w:r>
            <w:r w:rsidRPr="008B7C7E">
              <w:rPr>
                <w:sz w:val="20"/>
                <w:szCs w:val="20"/>
              </w:rPr>
              <w:t>certification</w:t>
            </w:r>
          </w:p>
        </w:tc>
      </w:tr>
      <w:tr w:rsidR="00022241" w:rsidTr="00B02133">
        <w:tc>
          <w:tcPr>
            <w:tcW w:w="1548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2241" w:rsidRDefault="00022241" w:rsidP="00B02133">
            <w:pPr>
              <w:spacing w:beforeLines="80" w:before="192" w:afterLines="80" w:after="192"/>
            </w:pPr>
            <w:r>
              <w:t>Improved Use of Maternal and Child Health and Nutrition Services</w:t>
            </w:r>
          </w:p>
        </w:tc>
        <w:tc>
          <w:tcPr>
            <w:tcW w:w="7920" w:type="dxa"/>
            <w:tcBorders>
              <w:top w:val="single" w:sz="18" w:space="0" w:color="auto"/>
            </w:tcBorders>
          </w:tcPr>
          <w:p w:rsidR="00022241" w:rsidRPr="008B7C7E" w:rsidRDefault="00022241" w:rsidP="00362355">
            <w:pPr>
              <w:spacing w:beforeLines="80" w:before="192" w:afterLines="80" w:after="192"/>
            </w:pPr>
            <w:r w:rsidRPr="008B7C7E">
              <w:t>#5</w:t>
            </w:r>
            <w:r>
              <w:t xml:space="preserve">2 </w:t>
            </w:r>
            <w:proofErr w:type="spellStart"/>
            <w:r>
              <w:t>RiA</w:t>
            </w:r>
            <w:proofErr w:type="spellEnd"/>
            <w:r>
              <w:t xml:space="preserve"> Percent of births receiving at least  4 antenatal care (ANC) visits during pregnancy</w:t>
            </w:r>
          </w:p>
        </w:tc>
        <w:tc>
          <w:tcPr>
            <w:tcW w:w="4140" w:type="dxa"/>
            <w:vMerge w:val="restart"/>
            <w:tcBorders>
              <w:top w:val="single" w:sz="18" w:space="0" w:color="auto"/>
            </w:tcBorders>
          </w:tcPr>
          <w:p w:rsidR="00022241" w:rsidRPr="008B7C7E" w:rsidRDefault="00022241" w:rsidP="002010B9">
            <w:pPr>
              <w:spacing w:beforeLines="80" w:before="192" w:afterLines="80" w:after="192"/>
              <w:rPr>
                <w:sz w:val="20"/>
                <w:szCs w:val="20"/>
              </w:rPr>
            </w:pPr>
            <w:r w:rsidRPr="009C1097">
              <w:rPr>
                <w:sz w:val="20"/>
                <w:szCs w:val="20"/>
              </w:rPr>
              <w:t>Applicable for</w:t>
            </w:r>
            <w:r>
              <w:rPr>
                <w:sz w:val="20"/>
                <w:szCs w:val="20"/>
              </w:rPr>
              <w:t xml:space="preserve"> </w:t>
            </w:r>
            <w:r w:rsidRPr="009C1097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</w:t>
            </w:r>
            <w:r w:rsidRPr="009C1097">
              <w:rPr>
                <w:sz w:val="20"/>
                <w:szCs w:val="20"/>
              </w:rPr>
              <w:t>implementing</w:t>
            </w:r>
            <w:r>
              <w:rPr>
                <w:sz w:val="20"/>
                <w:szCs w:val="20"/>
              </w:rPr>
              <w:t xml:space="preserve"> </w:t>
            </w:r>
            <w:r w:rsidRPr="009C1097">
              <w:rPr>
                <w:sz w:val="20"/>
                <w:szCs w:val="20"/>
              </w:rPr>
              <w:t>health, nutrition</w:t>
            </w:r>
            <w:r>
              <w:rPr>
                <w:sz w:val="20"/>
                <w:szCs w:val="20"/>
              </w:rPr>
              <w:t xml:space="preserve"> </w:t>
            </w:r>
            <w:r w:rsidRPr="009C1097">
              <w:rPr>
                <w:sz w:val="20"/>
                <w:szCs w:val="20"/>
              </w:rPr>
              <w:t>and/or family</w:t>
            </w:r>
            <w:r>
              <w:rPr>
                <w:sz w:val="20"/>
                <w:szCs w:val="20"/>
              </w:rPr>
              <w:t xml:space="preserve"> </w:t>
            </w:r>
            <w:r w:rsidRPr="009C1097">
              <w:rPr>
                <w:sz w:val="20"/>
                <w:szCs w:val="20"/>
              </w:rPr>
              <w:t>planning</w:t>
            </w:r>
            <w:r>
              <w:rPr>
                <w:sz w:val="20"/>
                <w:szCs w:val="20"/>
              </w:rPr>
              <w:t xml:space="preserve"> </w:t>
            </w:r>
            <w:r w:rsidRPr="009C1097">
              <w:rPr>
                <w:sz w:val="20"/>
                <w:szCs w:val="20"/>
              </w:rPr>
              <w:t>activities</w:t>
            </w:r>
            <w:r>
              <w:rPr>
                <w:sz w:val="20"/>
                <w:szCs w:val="20"/>
              </w:rPr>
              <w:t xml:space="preserve"> </w:t>
            </w:r>
            <w:r w:rsidRPr="009C1097">
              <w:rPr>
                <w:sz w:val="20"/>
                <w:szCs w:val="20"/>
              </w:rPr>
              <w:t>targeting women</w:t>
            </w:r>
            <w:r>
              <w:rPr>
                <w:sz w:val="20"/>
                <w:szCs w:val="20"/>
              </w:rPr>
              <w:t xml:space="preserve"> </w:t>
            </w:r>
            <w:r w:rsidRPr="009C1097">
              <w:rPr>
                <w:sz w:val="20"/>
                <w:szCs w:val="20"/>
              </w:rPr>
              <w:t>of reproductive</w:t>
            </w:r>
            <w:r>
              <w:rPr>
                <w:sz w:val="20"/>
                <w:szCs w:val="20"/>
              </w:rPr>
              <w:t xml:space="preserve"> </w:t>
            </w:r>
            <w:r w:rsidRPr="009C1097">
              <w:rPr>
                <w:sz w:val="20"/>
                <w:szCs w:val="20"/>
              </w:rPr>
              <w:t>health and/or</w:t>
            </w:r>
            <w:r>
              <w:rPr>
                <w:sz w:val="20"/>
                <w:szCs w:val="20"/>
              </w:rPr>
              <w:t xml:space="preserve"> </w:t>
            </w:r>
            <w:r w:rsidRPr="009C1097">
              <w:rPr>
                <w:sz w:val="20"/>
                <w:szCs w:val="20"/>
              </w:rPr>
              <w:t>children</w:t>
            </w:r>
            <w:r>
              <w:rPr>
                <w:sz w:val="20"/>
                <w:szCs w:val="20"/>
              </w:rPr>
              <w:t xml:space="preserve"> 6 months and under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8B7C7E" w:rsidRDefault="00022241" w:rsidP="00DC3DFE">
            <w:pPr>
              <w:spacing w:beforeLines="80" w:before="192" w:afterLines="80" w:after="192"/>
            </w:pPr>
            <w:r w:rsidRPr="008B7C7E">
              <w:t>#5</w:t>
            </w:r>
            <w:r>
              <w:t xml:space="preserve">3 </w:t>
            </w:r>
            <w:proofErr w:type="spellStart"/>
            <w:r>
              <w:t>RiA</w:t>
            </w:r>
            <w:proofErr w:type="spellEnd"/>
            <w:r>
              <w:t xml:space="preserve"> Number of live births receiving at least 4 ANC visits during pregnancy</w:t>
            </w:r>
          </w:p>
        </w:tc>
        <w:tc>
          <w:tcPr>
            <w:tcW w:w="4140" w:type="dxa"/>
            <w:vMerge/>
          </w:tcPr>
          <w:p w:rsidR="00022241" w:rsidRPr="008B7C7E" w:rsidRDefault="00022241" w:rsidP="00DC3DFE">
            <w:pPr>
              <w:spacing w:beforeLines="80" w:before="192" w:afterLines="80" w:after="192"/>
              <w:rPr>
                <w:sz w:val="20"/>
                <w:szCs w:val="20"/>
              </w:rPr>
            </w:pP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8B7C7E" w:rsidRDefault="00022241" w:rsidP="002C7E9E">
            <w:pPr>
              <w:spacing w:beforeLines="80" w:before="192" w:afterLines="80" w:after="192"/>
            </w:pPr>
            <w:r w:rsidRPr="008B7C7E">
              <w:t>#5</w:t>
            </w:r>
            <w:r>
              <w:t xml:space="preserve">4 </w:t>
            </w:r>
            <w:proofErr w:type="spellStart"/>
            <w:r>
              <w:t>RiA</w:t>
            </w:r>
            <w:proofErr w:type="spellEnd"/>
            <w:r>
              <w:t xml:space="preserve"> Number of children under 2 (0‐23 months old) participating in growth monitoring and promotion</w:t>
            </w:r>
          </w:p>
        </w:tc>
        <w:tc>
          <w:tcPr>
            <w:tcW w:w="4140" w:type="dxa"/>
          </w:tcPr>
          <w:p w:rsidR="00022241" w:rsidRPr="008B7C7E" w:rsidRDefault="00022241" w:rsidP="00DC3DFE">
            <w:pPr>
              <w:spacing w:beforeLines="80" w:before="192" w:afterLines="80" w:after="192"/>
              <w:rPr>
                <w:sz w:val="20"/>
                <w:szCs w:val="20"/>
              </w:rPr>
            </w:pPr>
            <w:r w:rsidRPr="00905418">
              <w:rPr>
                <w:sz w:val="20"/>
                <w:szCs w:val="20"/>
              </w:rPr>
              <w:t>Applicable for</w:t>
            </w:r>
            <w:r>
              <w:rPr>
                <w:sz w:val="20"/>
                <w:szCs w:val="20"/>
              </w:rPr>
              <w:t xml:space="preserve"> </w:t>
            </w:r>
            <w:r w:rsidRPr="00905418">
              <w:rPr>
                <w:sz w:val="20"/>
                <w:szCs w:val="20"/>
              </w:rPr>
              <w:t>projects that</w:t>
            </w:r>
            <w:r>
              <w:rPr>
                <w:sz w:val="20"/>
                <w:szCs w:val="20"/>
              </w:rPr>
              <w:t xml:space="preserve"> </w:t>
            </w:r>
            <w:r w:rsidRPr="00905418">
              <w:rPr>
                <w:sz w:val="20"/>
                <w:szCs w:val="20"/>
              </w:rPr>
              <w:t>include nutrition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8B7C7E" w:rsidRDefault="00022241" w:rsidP="00DC3DFE">
            <w:pPr>
              <w:spacing w:beforeLines="80" w:before="192" w:afterLines="80" w:after="192"/>
            </w:pPr>
            <w:r w:rsidRPr="008B7C7E">
              <w:t>#5</w:t>
            </w:r>
            <w:r>
              <w:t xml:space="preserve">5 </w:t>
            </w:r>
            <w:proofErr w:type="spellStart"/>
            <w:r>
              <w:t>RiA</w:t>
            </w:r>
            <w:proofErr w:type="spellEnd"/>
            <w:r>
              <w:t xml:space="preserve"> </w:t>
            </w:r>
            <w:r w:rsidRPr="00134242">
              <w:t>Contraceptive Prevalence Rate (CPR)</w:t>
            </w:r>
          </w:p>
        </w:tc>
        <w:tc>
          <w:tcPr>
            <w:tcW w:w="4140" w:type="dxa"/>
          </w:tcPr>
          <w:p w:rsidR="00022241" w:rsidRPr="008B7C7E" w:rsidRDefault="00022241" w:rsidP="00DB45CE">
            <w:pPr>
              <w:spacing w:beforeLines="80" w:before="192" w:afterLines="80" w:after="192"/>
              <w:rPr>
                <w:sz w:val="20"/>
                <w:szCs w:val="20"/>
              </w:rPr>
            </w:pPr>
            <w:r w:rsidRPr="000B3EF3">
              <w:rPr>
                <w:sz w:val="20"/>
                <w:szCs w:val="20"/>
              </w:rPr>
              <w:t>Applicable for</w:t>
            </w:r>
            <w:r>
              <w:rPr>
                <w:sz w:val="20"/>
                <w:szCs w:val="20"/>
              </w:rPr>
              <w:t xml:space="preserve"> </w:t>
            </w:r>
            <w:r w:rsidRPr="000B3EF3">
              <w:rPr>
                <w:sz w:val="20"/>
                <w:szCs w:val="20"/>
              </w:rPr>
              <w:t>any projects</w:t>
            </w:r>
            <w:r>
              <w:rPr>
                <w:sz w:val="20"/>
                <w:szCs w:val="20"/>
              </w:rPr>
              <w:t xml:space="preserve"> </w:t>
            </w:r>
            <w:r w:rsidRPr="000B3EF3">
              <w:rPr>
                <w:sz w:val="20"/>
                <w:szCs w:val="20"/>
              </w:rPr>
              <w:t>promoting birth</w:t>
            </w:r>
            <w:r>
              <w:rPr>
                <w:sz w:val="20"/>
                <w:szCs w:val="20"/>
              </w:rPr>
              <w:t xml:space="preserve"> </w:t>
            </w:r>
            <w:r w:rsidRPr="000B3EF3">
              <w:rPr>
                <w:sz w:val="20"/>
                <w:szCs w:val="20"/>
              </w:rPr>
              <w:t>spacing/ family</w:t>
            </w:r>
            <w:r>
              <w:rPr>
                <w:sz w:val="20"/>
                <w:szCs w:val="20"/>
              </w:rPr>
              <w:t xml:space="preserve"> </w:t>
            </w:r>
            <w:r w:rsidRPr="000B3EF3">
              <w:rPr>
                <w:sz w:val="20"/>
                <w:szCs w:val="20"/>
              </w:rPr>
              <w:t>planning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5945CD" w:rsidRDefault="00022241" w:rsidP="00DC3DFE">
            <w:pPr>
              <w:spacing w:beforeLines="80" w:before="192" w:afterLines="80" w:after="192"/>
              <w:rPr>
                <w:i/>
                <w:color w:val="4F81BD" w:themeColor="accent1"/>
              </w:rPr>
            </w:pPr>
            <w:r w:rsidRPr="005945CD">
              <w:rPr>
                <w:i/>
                <w:color w:val="4F81BD" w:themeColor="accent1"/>
              </w:rPr>
              <w:t xml:space="preserve">#56 </w:t>
            </w:r>
            <w:proofErr w:type="spellStart"/>
            <w:r w:rsidRPr="005945CD">
              <w:rPr>
                <w:i/>
                <w:color w:val="4F81BD" w:themeColor="accent1"/>
              </w:rPr>
              <w:t>RiA</w:t>
            </w:r>
            <w:proofErr w:type="spellEnd"/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Number of people</w:t>
            </w:r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trained in child</w:t>
            </w:r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health and</w:t>
            </w:r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nutrition through</w:t>
            </w:r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USG‐supported</w:t>
            </w:r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programs</w:t>
            </w:r>
          </w:p>
        </w:tc>
        <w:tc>
          <w:tcPr>
            <w:tcW w:w="4140" w:type="dxa"/>
            <w:vMerge w:val="restart"/>
          </w:tcPr>
          <w:p w:rsidR="00022241" w:rsidRPr="008B7C7E" w:rsidRDefault="00022241" w:rsidP="00DC3DFE">
            <w:pPr>
              <w:spacing w:beforeLines="80" w:before="192" w:afterLines="80" w:after="192"/>
              <w:rPr>
                <w:sz w:val="20"/>
                <w:szCs w:val="20"/>
              </w:rPr>
            </w:pPr>
            <w:r w:rsidRPr="0098132A">
              <w:rPr>
                <w:sz w:val="20"/>
                <w:szCs w:val="20"/>
              </w:rPr>
              <w:t>Applicable for</w:t>
            </w:r>
            <w:r>
              <w:rPr>
                <w:sz w:val="20"/>
                <w:szCs w:val="20"/>
              </w:rPr>
              <w:t xml:space="preserve"> </w:t>
            </w:r>
            <w:r w:rsidRPr="0098132A">
              <w:rPr>
                <w:sz w:val="20"/>
                <w:szCs w:val="20"/>
              </w:rPr>
              <w:t>any projects with</w:t>
            </w:r>
            <w:r>
              <w:rPr>
                <w:sz w:val="20"/>
                <w:szCs w:val="20"/>
              </w:rPr>
              <w:t xml:space="preserve"> </w:t>
            </w:r>
            <w:r w:rsidRPr="0098132A">
              <w:rPr>
                <w:sz w:val="20"/>
                <w:szCs w:val="20"/>
              </w:rPr>
              <w:t>a MCHN</w:t>
            </w:r>
            <w:r>
              <w:rPr>
                <w:sz w:val="20"/>
                <w:szCs w:val="20"/>
              </w:rPr>
              <w:t xml:space="preserve"> </w:t>
            </w:r>
            <w:r w:rsidRPr="0098132A">
              <w:rPr>
                <w:sz w:val="20"/>
                <w:szCs w:val="20"/>
              </w:rPr>
              <w:t>component</w:t>
            </w: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5945CD" w:rsidRDefault="00022241" w:rsidP="00362355">
            <w:pPr>
              <w:spacing w:beforeLines="80" w:before="192" w:afterLines="80" w:after="192"/>
              <w:rPr>
                <w:i/>
                <w:color w:val="4F81BD" w:themeColor="accent1"/>
              </w:rPr>
            </w:pPr>
            <w:r w:rsidRPr="005945CD">
              <w:rPr>
                <w:i/>
                <w:color w:val="4F81BD" w:themeColor="accent1"/>
              </w:rPr>
              <w:t xml:space="preserve">#57 </w:t>
            </w:r>
            <w:proofErr w:type="spellStart"/>
            <w:r w:rsidRPr="005945CD">
              <w:rPr>
                <w:i/>
                <w:color w:val="4F81BD" w:themeColor="accent1"/>
              </w:rPr>
              <w:t>RiA</w:t>
            </w:r>
            <w:proofErr w:type="spellEnd"/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Number of</w:t>
            </w:r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children under</w:t>
            </w:r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five reached by</w:t>
            </w:r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USG‐supported</w:t>
            </w:r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nutrition</w:t>
            </w:r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programs</w:t>
            </w:r>
          </w:p>
        </w:tc>
        <w:tc>
          <w:tcPr>
            <w:tcW w:w="4140" w:type="dxa"/>
            <w:vMerge/>
          </w:tcPr>
          <w:p w:rsidR="00022241" w:rsidRPr="008B7C7E" w:rsidRDefault="00022241" w:rsidP="00DC3DFE">
            <w:pPr>
              <w:spacing w:beforeLines="80" w:before="192" w:afterLines="80" w:after="192"/>
              <w:rPr>
                <w:sz w:val="20"/>
                <w:szCs w:val="20"/>
              </w:rPr>
            </w:pPr>
          </w:p>
        </w:tc>
      </w:tr>
      <w:tr w:rsidR="00022241" w:rsidTr="00E506FB">
        <w:tc>
          <w:tcPr>
            <w:tcW w:w="1548" w:type="dxa"/>
            <w:vMerge/>
            <w:shd w:val="clear" w:color="auto" w:fill="F2F2F2" w:themeFill="background1" w:themeFillShade="F2"/>
          </w:tcPr>
          <w:p w:rsidR="00022241" w:rsidRDefault="00022241" w:rsidP="00DC3DFE">
            <w:pPr>
              <w:spacing w:beforeLines="80" w:before="192" w:afterLines="80" w:after="192"/>
            </w:pPr>
          </w:p>
        </w:tc>
        <w:tc>
          <w:tcPr>
            <w:tcW w:w="7920" w:type="dxa"/>
          </w:tcPr>
          <w:p w:rsidR="00022241" w:rsidRPr="008B7C7E" w:rsidRDefault="00022241" w:rsidP="00362355">
            <w:pPr>
              <w:spacing w:beforeLines="80" w:before="192" w:afterLines="80" w:after="192"/>
            </w:pPr>
            <w:r w:rsidRPr="005945CD">
              <w:rPr>
                <w:i/>
                <w:color w:val="4F81BD" w:themeColor="accent1"/>
              </w:rPr>
              <w:t>#5</w:t>
            </w:r>
            <w:r>
              <w:rPr>
                <w:i/>
                <w:color w:val="4F81BD" w:themeColor="accent1"/>
              </w:rPr>
              <w:t>8</w:t>
            </w:r>
            <w:r w:rsidRPr="005945CD">
              <w:rPr>
                <w:i/>
                <w:color w:val="4F81BD" w:themeColor="accent1"/>
              </w:rPr>
              <w:t xml:space="preserve"> </w:t>
            </w:r>
            <w:proofErr w:type="spellStart"/>
            <w:r w:rsidRPr="005945CD">
              <w:rPr>
                <w:i/>
                <w:color w:val="4F81BD" w:themeColor="accent1"/>
              </w:rPr>
              <w:t>RiA</w:t>
            </w:r>
            <w:proofErr w:type="spellEnd"/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Number of</w:t>
            </w:r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children under</w:t>
            </w:r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five years of age</w:t>
            </w:r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who received</w:t>
            </w:r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vitamin A from</w:t>
            </w:r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USG‐supported</w:t>
            </w:r>
            <w:r>
              <w:rPr>
                <w:i/>
                <w:color w:val="4F81BD" w:themeColor="accent1"/>
              </w:rPr>
              <w:t xml:space="preserve"> </w:t>
            </w:r>
            <w:r w:rsidRPr="00CE4BAA">
              <w:rPr>
                <w:i/>
                <w:color w:val="4F81BD" w:themeColor="accent1"/>
              </w:rPr>
              <w:t>programs</w:t>
            </w:r>
          </w:p>
        </w:tc>
        <w:tc>
          <w:tcPr>
            <w:tcW w:w="4140" w:type="dxa"/>
          </w:tcPr>
          <w:p w:rsidR="00022241" w:rsidRPr="008B7C7E" w:rsidRDefault="00022241" w:rsidP="00DB45CE">
            <w:pPr>
              <w:spacing w:beforeLines="80" w:before="192" w:afterLines="80" w:after="192"/>
              <w:rPr>
                <w:sz w:val="20"/>
                <w:szCs w:val="20"/>
              </w:rPr>
            </w:pPr>
            <w:r w:rsidRPr="009A180B">
              <w:rPr>
                <w:sz w:val="20"/>
                <w:szCs w:val="20"/>
              </w:rPr>
              <w:t>Applicable for</w:t>
            </w:r>
            <w:r>
              <w:rPr>
                <w:sz w:val="20"/>
                <w:szCs w:val="20"/>
              </w:rPr>
              <w:t xml:space="preserve"> </w:t>
            </w:r>
            <w:r w:rsidRPr="009A180B">
              <w:rPr>
                <w:sz w:val="20"/>
                <w:szCs w:val="20"/>
              </w:rPr>
              <w:t>any projects</w:t>
            </w:r>
            <w:r>
              <w:rPr>
                <w:sz w:val="20"/>
                <w:szCs w:val="20"/>
              </w:rPr>
              <w:t xml:space="preserve"> </w:t>
            </w:r>
            <w:r w:rsidRPr="009A180B">
              <w:rPr>
                <w:sz w:val="20"/>
                <w:szCs w:val="20"/>
              </w:rPr>
              <w:t>facilitating</w:t>
            </w:r>
            <w:r>
              <w:rPr>
                <w:sz w:val="20"/>
                <w:szCs w:val="20"/>
              </w:rPr>
              <w:t xml:space="preserve"> </w:t>
            </w:r>
            <w:r w:rsidRPr="009A180B">
              <w:rPr>
                <w:sz w:val="20"/>
                <w:szCs w:val="20"/>
              </w:rPr>
              <w:t>vitamin A</w:t>
            </w:r>
            <w:r>
              <w:rPr>
                <w:sz w:val="20"/>
                <w:szCs w:val="20"/>
              </w:rPr>
              <w:t xml:space="preserve"> </w:t>
            </w:r>
            <w:r w:rsidRPr="009A180B">
              <w:rPr>
                <w:sz w:val="20"/>
                <w:szCs w:val="20"/>
              </w:rPr>
              <w:t>distribution</w:t>
            </w:r>
          </w:p>
        </w:tc>
      </w:tr>
    </w:tbl>
    <w:p w:rsidR="00416CCD" w:rsidRDefault="00416CCD" w:rsidP="00F25BAC">
      <w:pPr>
        <w:shd w:val="clear" w:color="auto" w:fill="FFFFFF"/>
        <w:spacing w:after="0" w:line="240" w:lineRule="auto"/>
      </w:pPr>
    </w:p>
    <w:p w:rsidR="00503921" w:rsidRDefault="00503921" w:rsidP="00F25BAC">
      <w:pPr>
        <w:shd w:val="clear" w:color="auto" w:fill="FFFFFF"/>
        <w:spacing w:after="0" w:line="240" w:lineRule="auto"/>
      </w:pPr>
    </w:p>
    <w:p w:rsidR="00503921" w:rsidRDefault="00503921" w:rsidP="00F25BAC">
      <w:pPr>
        <w:shd w:val="clear" w:color="auto" w:fill="FFFFFF"/>
        <w:spacing w:after="0" w:line="240" w:lineRule="auto"/>
      </w:pPr>
      <w:r>
        <w:t xml:space="preserve">This table does not include indicators that are applicable only for projects awarded on or before FY 2013. </w:t>
      </w:r>
    </w:p>
    <w:sectPr w:rsidR="00503921" w:rsidSect="000516D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9E" w:rsidRDefault="0084349E" w:rsidP="00187119">
      <w:pPr>
        <w:spacing w:after="0" w:line="240" w:lineRule="auto"/>
      </w:pPr>
      <w:r>
        <w:separator/>
      </w:r>
    </w:p>
  </w:endnote>
  <w:endnote w:type="continuationSeparator" w:id="0">
    <w:p w:rsidR="0084349E" w:rsidRDefault="0084349E" w:rsidP="0018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5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119" w:rsidRDefault="001871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119" w:rsidRDefault="00187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9E" w:rsidRDefault="0084349E" w:rsidP="00187119">
      <w:pPr>
        <w:spacing w:after="0" w:line="240" w:lineRule="auto"/>
      </w:pPr>
      <w:r>
        <w:separator/>
      </w:r>
    </w:p>
  </w:footnote>
  <w:footnote w:type="continuationSeparator" w:id="0">
    <w:p w:rsidR="0084349E" w:rsidRDefault="0084349E" w:rsidP="00187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AD"/>
    <w:rsid w:val="00022241"/>
    <w:rsid w:val="000516D9"/>
    <w:rsid w:val="000521F3"/>
    <w:rsid w:val="000539BC"/>
    <w:rsid w:val="0007203F"/>
    <w:rsid w:val="000A416D"/>
    <w:rsid w:val="000B35FD"/>
    <w:rsid w:val="000B3EF3"/>
    <w:rsid w:val="000B53EF"/>
    <w:rsid w:val="000F27BB"/>
    <w:rsid w:val="0011051C"/>
    <w:rsid w:val="00134242"/>
    <w:rsid w:val="001535F1"/>
    <w:rsid w:val="00187119"/>
    <w:rsid w:val="001902A3"/>
    <w:rsid w:val="001C0D22"/>
    <w:rsid w:val="001D73E5"/>
    <w:rsid w:val="002010B9"/>
    <w:rsid w:val="002163A5"/>
    <w:rsid w:val="0022350A"/>
    <w:rsid w:val="00287571"/>
    <w:rsid w:val="002A1B85"/>
    <w:rsid w:val="002A518F"/>
    <w:rsid w:val="002A532A"/>
    <w:rsid w:val="002C1796"/>
    <w:rsid w:val="002C23E5"/>
    <w:rsid w:val="002C7E9E"/>
    <w:rsid w:val="002D4F89"/>
    <w:rsid w:val="002D52BD"/>
    <w:rsid w:val="002F071F"/>
    <w:rsid w:val="002F074F"/>
    <w:rsid w:val="00314C24"/>
    <w:rsid w:val="00362355"/>
    <w:rsid w:val="003666A1"/>
    <w:rsid w:val="00386300"/>
    <w:rsid w:val="003C08AD"/>
    <w:rsid w:val="003E3A58"/>
    <w:rsid w:val="003E436A"/>
    <w:rsid w:val="003F140A"/>
    <w:rsid w:val="003F7B5C"/>
    <w:rsid w:val="00414253"/>
    <w:rsid w:val="00416CCD"/>
    <w:rsid w:val="00436AE4"/>
    <w:rsid w:val="00442B7F"/>
    <w:rsid w:val="0044475E"/>
    <w:rsid w:val="00445F1C"/>
    <w:rsid w:val="00457183"/>
    <w:rsid w:val="00457A83"/>
    <w:rsid w:val="004714E8"/>
    <w:rsid w:val="00471E2E"/>
    <w:rsid w:val="00487D77"/>
    <w:rsid w:val="004A7690"/>
    <w:rsid w:val="004D6F09"/>
    <w:rsid w:val="004E306C"/>
    <w:rsid w:val="004F289A"/>
    <w:rsid w:val="00500A97"/>
    <w:rsid w:val="00503921"/>
    <w:rsid w:val="005453B8"/>
    <w:rsid w:val="005559D9"/>
    <w:rsid w:val="005621F2"/>
    <w:rsid w:val="0056231F"/>
    <w:rsid w:val="005945CD"/>
    <w:rsid w:val="005A7D35"/>
    <w:rsid w:val="005D322A"/>
    <w:rsid w:val="00605BFF"/>
    <w:rsid w:val="0063683A"/>
    <w:rsid w:val="006433FB"/>
    <w:rsid w:val="00653F30"/>
    <w:rsid w:val="00654A87"/>
    <w:rsid w:val="00657862"/>
    <w:rsid w:val="006840B9"/>
    <w:rsid w:val="006A5A4B"/>
    <w:rsid w:val="006A7EA5"/>
    <w:rsid w:val="006C19FA"/>
    <w:rsid w:val="006C6050"/>
    <w:rsid w:val="006E694B"/>
    <w:rsid w:val="006F6BC0"/>
    <w:rsid w:val="00737893"/>
    <w:rsid w:val="0074004D"/>
    <w:rsid w:val="00740FA7"/>
    <w:rsid w:val="00754CD7"/>
    <w:rsid w:val="007656E2"/>
    <w:rsid w:val="00786DB8"/>
    <w:rsid w:val="007A35F0"/>
    <w:rsid w:val="007D029A"/>
    <w:rsid w:val="007D0639"/>
    <w:rsid w:val="007D5B50"/>
    <w:rsid w:val="007D7237"/>
    <w:rsid w:val="007E1D16"/>
    <w:rsid w:val="0084349E"/>
    <w:rsid w:val="00856791"/>
    <w:rsid w:val="008652A1"/>
    <w:rsid w:val="00875F90"/>
    <w:rsid w:val="00883163"/>
    <w:rsid w:val="00887137"/>
    <w:rsid w:val="008872AB"/>
    <w:rsid w:val="008A145D"/>
    <w:rsid w:val="008A7C68"/>
    <w:rsid w:val="008A7F3F"/>
    <w:rsid w:val="008B4204"/>
    <w:rsid w:val="008B7C7E"/>
    <w:rsid w:val="008D2452"/>
    <w:rsid w:val="008D2C60"/>
    <w:rsid w:val="008E610B"/>
    <w:rsid w:val="00905418"/>
    <w:rsid w:val="009064BA"/>
    <w:rsid w:val="00914034"/>
    <w:rsid w:val="009215AE"/>
    <w:rsid w:val="00941C97"/>
    <w:rsid w:val="00950D06"/>
    <w:rsid w:val="009539C7"/>
    <w:rsid w:val="0098132A"/>
    <w:rsid w:val="009A02A3"/>
    <w:rsid w:val="009A180B"/>
    <w:rsid w:val="009C1097"/>
    <w:rsid w:val="009D5886"/>
    <w:rsid w:val="00A0260B"/>
    <w:rsid w:val="00A663FF"/>
    <w:rsid w:val="00A77E28"/>
    <w:rsid w:val="00A86839"/>
    <w:rsid w:val="00AB45F2"/>
    <w:rsid w:val="00AC41DA"/>
    <w:rsid w:val="00B0047D"/>
    <w:rsid w:val="00B02133"/>
    <w:rsid w:val="00B1223C"/>
    <w:rsid w:val="00B216C9"/>
    <w:rsid w:val="00B24AFE"/>
    <w:rsid w:val="00B26E9A"/>
    <w:rsid w:val="00B3547A"/>
    <w:rsid w:val="00B443F5"/>
    <w:rsid w:val="00B44AA0"/>
    <w:rsid w:val="00B61DA5"/>
    <w:rsid w:val="00B7105B"/>
    <w:rsid w:val="00B900EF"/>
    <w:rsid w:val="00BA1512"/>
    <w:rsid w:val="00BB475C"/>
    <w:rsid w:val="00BB4A22"/>
    <w:rsid w:val="00BC51A9"/>
    <w:rsid w:val="00BE391B"/>
    <w:rsid w:val="00BF4399"/>
    <w:rsid w:val="00BF73B8"/>
    <w:rsid w:val="00C071AB"/>
    <w:rsid w:val="00C238C0"/>
    <w:rsid w:val="00C32FF7"/>
    <w:rsid w:val="00C36035"/>
    <w:rsid w:val="00C45E2F"/>
    <w:rsid w:val="00C50375"/>
    <w:rsid w:val="00C55CBE"/>
    <w:rsid w:val="00C73C84"/>
    <w:rsid w:val="00CC622D"/>
    <w:rsid w:val="00CD1C7A"/>
    <w:rsid w:val="00CE476B"/>
    <w:rsid w:val="00CE4BAA"/>
    <w:rsid w:val="00D01B31"/>
    <w:rsid w:val="00D15D64"/>
    <w:rsid w:val="00D17302"/>
    <w:rsid w:val="00D25F3E"/>
    <w:rsid w:val="00D62256"/>
    <w:rsid w:val="00D66DCC"/>
    <w:rsid w:val="00D7399A"/>
    <w:rsid w:val="00D9256D"/>
    <w:rsid w:val="00DA19E6"/>
    <w:rsid w:val="00DB45CE"/>
    <w:rsid w:val="00DC3DFE"/>
    <w:rsid w:val="00DC48B8"/>
    <w:rsid w:val="00DD5E4C"/>
    <w:rsid w:val="00DE4909"/>
    <w:rsid w:val="00DF2CB4"/>
    <w:rsid w:val="00E126EC"/>
    <w:rsid w:val="00E506FB"/>
    <w:rsid w:val="00E5292C"/>
    <w:rsid w:val="00E5609C"/>
    <w:rsid w:val="00E5624A"/>
    <w:rsid w:val="00EB703E"/>
    <w:rsid w:val="00EE094C"/>
    <w:rsid w:val="00EF5C3E"/>
    <w:rsid w:val="00F06C13"/>
    <w:rsid w:val="00F12B5F"/>
    <w:rsid w:val="00F21B41"/>
    <w:rsid w:val="00F25BAC"/>
    <w:rsid w:val="00F3144F"/>
    <w:rsid w:val="00F32788"/>
    <w:rsid w:val="00F40F8E"/>
    <w:rsid w:val="00F423C6"/>
    <w:rsid w:val="00F5733B"/>
    <w:rsid w:val="00F70D04"/>
    <w:rsid w:val="00FA7B1A"/>
    <w:rsid w:val="00FE2E71"/>
    <w:rsid w:val="00FE4C68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08AD"/>
  </w:style>
  <w:style w:type="character" w:customStyle="1" w:styleId="il">
    <w:name w:val="il"/>
    <w:basedOn w:val="DefaultParagraphFont"/>
    <w:rsid w:val="003C08AD"/>
  </w:style>
  <w:style w:type="character" w:styleId="Hyperlink">
    <w:name w:val="Hyperlink"/>
    <w:basedOn w:val="DefaultParagraphFont"/>
    <w:uiPriority w:val="99"/>
    <w:semiHidden/>
    <w:unhideWhenUsed/>
    <w:rsid w:val="003C08AD"/>
    <w:rPr>
      <w:color w:val="0000FF"/>
      <w:u w:val="single"/>
    </w:rPr>
  </w:style>
  <w:style w:type="table" w:styleId="TableGrid">
    <w:name w:val="Table Grid"/>
    <w:basedOn w:val="TableNormal"/>
    <w:uiPriority w:val="59"/>
    <w:rsid w:val="003C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19"/>
  </w:style>
  <w:style w:type="paragraph" w:styleId="Footer">
    <w:name w:val="footer"/>
    <w:basedOn w:val="Normal"/>
    <w:link w:val="FooterChar"/>
    <w:uiPriority w:val="99"/>
    <w:unhideWhenUsed/>
    <w:rsid w:val="0018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19"/>
  </w:style>
  <w:style w:type="paragraph" w:styleId="BalloonText">
    <w:name w:val="Balloon Text"/>
    <w:basedOn w:val="Normal"/>
    <w:link w:val="BalloonTextChar"/>
    <w:uiPriority w:val="99"/>
    <w:semiHidden/>
    <w:unhideWhenUsed/>
    <w:rsid w:val="00E5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08AD"/>
  </w:style>
  <w:style w:type="character" w:customStyle="1" w:styleId="il">
    <w:name w:val="il"/>
    <w:basedOn w:val="DefaultParagraphFont"/>
    <w:rsid w:val="003C08AD"/>
  </w:style>
  <w:style w:type="character" w:styleId="Hyperlink">
    <w:name w:val="Hyperlink"/>
    <w:basedOn w:val="DefaultParagraphFont"/>
    <w:uiPriority w:val="99"/>
    <w:semiHidden/>
    <w:unhideWhenUsed/>
    <w:rsid w:val="003C08AD"/>
    <w:rPr>
      <w:color w:val="0000FF"/>
      <w:u w:val="single"/>
    </w:rPr>
  </w:style>
  <w:style w:type="table" w:styleId="TableGrid">
    <w:name w:val="Table Grid"/>
    <w:basedOn w:val="TableNormal"/>
    <w:uiPriority w:val="59"/>
    <w:rsid w:val="003C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19"/>
  </w:style>
  <w:style w:type="paragraph" w:styleId="Footer">
    <w:name w:val="footer"/>
    <w:basedOn w:val="Normal"/>
    <w:link w:val="FooterChar"/>
    <w:uiPriority w:val="99"/>
    <w:unhideWhenUsed/>
    <w:rsid w:val="0018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19"/>
  </w:style>
  <w:style w:type="paragraph" w:styleId="BalloonText">
    <w:name w:val="Balloon Text"/>
    <w:basedOn w:val="Normal"/>
    <w:link w:val="BalloonTextChar"/>
    <w:uiPriority w:val="99"/>
    <w:semiHidden/>
    <w:unhideWhenUsed/>
    <w:rsid w:val="00E5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 </cp:lastModifiedBy>
  <cp:revision>32</cp:revision>
  <cp:lastPrinted>2017-01-13T19:44:00Z</cp:lastPrinted>
  <dcterms:created xsi:type="dcterms:W3CDTF">2017-01-06T16:43:00Z</dcterms:created>
  <dcterms:modified xsi:type="dcterms:W3CDTF">2017-02-06T21:46:00Z</dcterms:modified>
</cp:coreProperties>
</file>