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color="000000" w:space="0" w:sz="0" w:val="none"/>
          <w:right w:space="0" w:sz="0" w:val="nil"/>
          <w:between w:space="0" w:sz="0" w:val="nil"/>
        </w:pBdr>
        <w:spacing w:after="0" w:line="240" w:lineRule="auto"/>
        <w:ind w:left="0" w:firstLine="0"/>
        <w:rPr>
          <w:color w:val="002f6c"/>
          <w:sz w:val="48"/>
          <w:szCs w:val="48"/>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color="000000" w:space="0" w:sz="0" w:val="none"/>
          <w:right w:space="0" w:sz="0" w:val="nil"/>
          <w:between w:space="0" w:sz="0" w:val="nil"/>
        </w:pBdr>
        <w:spacing w:after="0" w:line="240" w:lineRule="auto"/>
        <w:ind w:left="0" w:firstLine="0"/>
        <w:rPr>
          <w:color w:val="002f6c"/>
          <w:sz w:val="48"/>
          <w:szCs w:val="48"/>
        </w:rPr>
      </w:pPr>
      <w:r w:rsidDel="00000000" w:rsidR="00000000" w:rsidRPr="00000000">
        <w:rPr>
          <w:rtl w:val="0"/>
        </w:rPr>
      </w:r>
    </w:p>
    <w:p w:rsidR="00000000" w:rsidDel="00000000" w:rsidP="00000000" w:rsidRDefault="00000000" w:rsidRPr="00000000" w14:paraId="00000003">
      <w:pPr>
        <w:pBdr>
          <w:top w:space="0" w:sz="0" w:val="nil"/>
          <w:left w:space="0" w:sz="0" w:val="nil"/>
          <w:bottom w:color="000000" w:space="0" w:sz="0" w:val="none"/>
          <w:right w:space="0" w:sz="0" w:val="nil"/>
          <w:between w:space="0" w:sz="0" w:val="nil"/>
        </w:pBdr>
        <w:spacing w:after="0" w:line="240" w:lineRule="auto"/>
        <w:ind w:left="0" w:firstLine="0"/>
        <w:rPr>
          <w:color w:val="002f6c"/>
          <w:sz w:val="48"/>
          <w:szCs w:val="48"/>
        </w:rPr>
      </w:pPr>
      <w:r w:rsidDel="00000000" w:rsidR="00000000" w:rsidRPr="00000000">
        <w:rPr>
          <w:color w:val="002f6c"/>
          <w:sz w:val="48"/>
          <w:szCs w:val="48"/>
          <w:rtl w:val="0"/>
        </w:rPr>
        <w:t xml:space="preserve">Portée du travail et produits livrables</w:t>
      </w:r>
    </w:p>
    <w:p w:rsidR="00000000" w:rsidDel="00000000" w:rsidP="00000000" w:rsidRDefault="00000000" w:rsidRPr="00000000" w14:paraId="00000004">
      <w:pPr>
        <w:pBdr>
          <w:top w:space="0" w:sz="0" w:val="nil"/>
          <w:left w:space="0" w:sz="0" w:val="nil"/>
          <w:bottom w:color="000000" w:space="0" w:sz="0" w:val="none"/>
          <w:right w:space="0" w:sz="0" w:val="nil"/>
          <w:between w:space="0" w:sz="0" w:val="nil"/>
        </w:pBdr>
        <w:spacing w:after="300" w:before="120" w:line="240" w:lineRule="auto"/>
        <w:ind w:hanging="288"/>
        <w:rPr>
          <w:color w:val="6c6463"/>
          <w:sz w:val="40"/>
          <w:szCs w:val="40"/>
        </w:rPr>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pPr>
      <w:r w:rsidDel="00000000" w:rsidR="00000000" w:rsidRPr="00000000">
        <w:rPr>
          <w:color w:val="6c6463"/>
          <w:sz w:val="40"/>
          <w:szCs w:val="40"/>
          <w:rtl w:val="0"/>
        </w:rPr>
        <w:t xml:space="preserve">USAID Advancing Nutrition Équipe Technique</w:t>
      </w:r>
    </w:p>
    <w:bookmarkStart w:colFirst="0" w:colLast="0" w:name="gjdgxs" w:id="0"/>
    <w:bookmarkEnd w:id="0"/>
    <w:p w:rsidR="00000000" w:rsidDel="00000000" w:rsidP="00000000" w:rsidRDefault="00000000" w:rsidRPr="00000000" w14:paraId="00000005">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120" w:before="12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right w:space="0" w:sz="0" w:val="nil"/>
          <w:between w:space="0" w:sz="0" w:val="nil"/>
        </w:pBdr>
        <w:spacing w:after="120" w:before="120" w:lineRule="auto"/>
        <w:ind w:hanging="288"/>
        <w:rPr>
          <w:b w:val="1"/>
          <w:i w:val="1"/>
          <w:color w:val="366091"/>
        </w:rPr>
      </w:pPr>
      <w:r w:rsidDel="00000000" w:rsidR="00000000" w:rsidRPr="00000000">
        <w:rPr>
          <w:b w:val="1"/>
          <w:rtl w:val="0"/>
        </w:rPr>
        <w:t xml:space="preserve">Date de la demande</w:t>
      </w:r>
      <w:r w:rsidDel="00000000" w:rsidR="00000000" w:rsidRPr="00000000">
        <w:rPr>
          <w:b w:val="1"/>
          <w:sz w:val="22"/>
          <w:szCs w:val="22"/>
          <w:rtl w:val="0"/>
        </w:rPr>
        <w:t xml:space="preserve">:</w:t>
      </w:r>
      <w:r w:rsidDel="00000000" w:rsidR="00000000" w:rsidRPr="00000000">
        <w:rPr>
          <w:b w:val="1"/>
          <w:rtl w:val="0"/>
        </w:rPr>
        <w:t xml:space="preserve"> </w:t>
      </w:r>
      <w:r w:rsidDel="00000000" w:rsidR="00000000" w:rsidRPr="00000000">
        <w:rPr>
          <w:b w:val="1"/>
          <w:i w:val="1"/>
          <w:color w:val="366091"/>
          <w:rtl w:val="0"/>
        </w:rPr>
        <w:t xml:space="preserve">28 mars 2022</w:t>
      </w:r>
    </w:p>
    <w:p w:rsidR="00000000" w:rsidDel="00000000" w:rsidP="00000000" w:rsidRDefault="00000000" w:rsidRPr="00000000" w14:paraId="00000007">
      <w:pPr>
        <w:pBdr>
          <w:top w:space="0" w:sz="0" w:val="nil"/>
          <w:left w:space="0" w:sz="0" w:val="nil"/>
          <w:right w:space="0" w:sz="0" w:val="nil"/>
          <w:between w:space="0" w:sz="0" w:val="nil"/>
        </w:pBdr>
        <w:spacing w:after="120" w:before="120" w:lineRule="auto"/>
        <w:ind w:hanging="288"/>
        <w:rPr>
          <w:b w:val="1"/>
          <w:i w:val="1"/>
          <w:color w:val="366091"/>
        </w:rPr>
      </w:pPr>
      <w:r w:rsidDel="00000000" w:rsidR="00000000" w:rsidRPr="00000000">
        <w:rPr>
          <w:b w:val="1"/>
          <w:rtl w:val="0"/>
        </w:rPr>
        <w:t xml:space="preserve">Objectif</w:t>
      </w:r>
      <w:r w:rsidDel="00000000" w:rsidR="00000000" w:rsidRPr="00000000">
        <w:rPr>
          <w:b w:val="1"/>
          <w:sz w:val="22"/>
          <w:szCs w:val="22"/>
          <w:rtl w:val="0"/>
        </w:rPr>
        <w:t xml:space="preserve">: </w:t>
        <w:tab/>
      </w:r>
      <w:r w:rsidDel="00000000" w:rsidR="00000000" w:rsidRPr="00000000">
        <w:rPr>
          <w:b w:val="1"/>
          <w:i w:val="1"/>
          <w:color w:val="366091"/>
          <w:rtl w:val="0"/>
        </w:rPr>
        <w:t xml:space="preserve">Le consultant en administration et ressources humaines collaborera avec deux organisations locales au Burkina Faso, afin de les aider à réviser et à mettre à jour les procédures et outils administratifs et de gestion du personnel.</w:t>
      </w:r>
    </w:p>
    <w:p w:rsidR="00000000" w:rsidDel="00000000" w:rsidP="00000000" w:rsidRDefault="00000000" w:rsidRPr="00000000" w14:paraId="00000008">
      <w:pPr>
        <w:pBdr>
          <w:top w:space="0" w:sz="0" w:val="nil"/>
          <w:left w:space="0" w:sz="0" w:val="nil"/>
          <w:right w:space="0" w:sz="0" w:val="nil"/>
          <w:between w:space="0" w:sz="0" w:val="nil"/>
        </w:pBdr>
        <w:spacing w:after="120" w:before="120" w:lineRule="auto"/>
        <w:ind w:hanging="288"/>
        <w:rPr>
          <w:color w:val="000000"/>
        </w:rPr>
      </w:pPr>
      <w:r w:rsidDel="00000000" w:rsidR="00000000" w:rsidRPr="00000000">
        <w:rPr>
          <w:b w:val="1"/>
          <w:rtl w:val="0"/>
        </w:rPr>
        <w:t xml:space="preserve">Lieu de </w:t>
      </w:r>
      <w:r w:rsidDel="00000000" w:rsidR="00000000" w:rsidRPr="00000000">
        <w:rPr>
          <w:b w:val="1"/>
          <w:sz w:val="22"/>
          <w:szCs w:val="22"/>
          <w:rtl w:val="0"/>
        </w:rPr>
        <w:t xml:space="preserve">formance:</w:t>
      </w:r>
      <w:r w:rsidDel="00000000" w:rsidR="00000000" w:rsidRPr="00000000">
        <w:rPr>
          <w:rtl w:val="0"/>
        </w:rPr>
        <w:t xml:space="preserve"> </w:t>
      </w:r>
      <w:r w:rsidDel="00000000" w:rsidR="00000000" w:rsidRPr="00000000">
        <w:rPr>
          <w:rtl w:val="0"/>
        </w:rPr>
        <w:t xml:space="preserve">Ouagadougou, Burkina </w:t>
      </w:r>
      <w:r w:rsidDel="00000000" w:rsidR="00000000" w:rsidRPr="00000000">
        <w:rPr>
          <w:rtl w:val="0"/>
        </w:rPr>
        <w:t xml:space="preserve">Faso</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right w:space="0" w:sz="0" w:val="nil"/>
          <w:between w:space="0" w:sz="0" w:val="nil"/>
        </w:pBdr>
        <w:spacing w:after="120" w:before="120" w:lineRule="auto"/>
        <w:ind w:hanging="288"/>
        <w:rPr>
          <w:color w:val="0b5394"/>
        </w:rPr>
      </w:pPr>
      <w:r w:rsidDel="00000000" w:rsidR="00000000" w:rsidRPr="00000000">
        <w:rPr>
          <w:b w:val="1"/>
          <w:rtl w:val="0"/>
        </w:rPr>
        <w:t xml:space="preserve">Prestataire(s) :</w:t>
      </w:r>
      <w:r w:rsidDel="00000000" w:rsidR="00000000" w:rsidRPr="00000000">
        <w:rPr>
          <w:b w:val="1"/>
          <w:color w:val="0070c0"/>
          <w:rtl w:val="0"/>
        </w:rPr>
        <w:t xml:space="preserve"> </w:t>
      </w:r>
      <w:r w:rsidDel="00000000" w:rsidR="00000000" w:rsidRPr="00000000">
        <w:rPr>
          <w:b w:val="1"/>
          <w:color w:val="0b5394"/>
          <w:rtl w:val="0"/>
        </w:rPr>
        <w:t xml:space="preserve">à déterminer</w:t>
      </w:r>
      <w:r w:rsidDel="00000000" w:rsidR="00000000" w:rsidRPr="00000000">
        <w:rPr>
          <w:rtl w:val="0"/>
        </w:rPr>
      </w:r>
    </w:p>
    <w:p w:rsidR="00000000" w:rsidDel="00000000" w:rsidP="00000000" w:rsidRDefault="00000000" w:rsidRPr="00000000" w14:paraId="0000000A">
      <w:pPr>
        <w:pBdr>
          <w:top w:space="0" w:sz="0" w:val="nil"/>
          <w:left w:space="0" w:sz="0" w:val="nil"/>
          <w:right w:space="0" w:sz="0" w:val="nil"/>
          <w:between w:space="0" w:sz="0" w:val="nil"/>
        </w:pBdr>
        <w:spacing w:after="120" w:before="120" w:lineRule="auto"/>
        <w:ind w:hanging="288"/>
        <w:rPr>
          <w:color w:val="000000"/>
        </w:rPr>
      </w:pPr>
      <w:r w:rsidDel="00000000" w:rsidR="00000000" w:rsidRPr="00000000">
        <w:rPr>
          <w:b w:val="1"/>
          <w:rtl w:val="0"/>
        </w:rPr>
        <w:t xml:space="preserve">Période d'exécution </w:t>
      </w:r>
      <w:r w:rsidDel="00000000" w:rsidR="00000000" w:rsidRPr="00000000">
        <w:rPr>
          <w:b w:val="1"/>
          <w:color w:val="000000"/>
          <w:rtl w:val="0"/>
        </w:rPr>
        <w:t xml:space="preserve">:</w:t>
      </w:r>
      <w:r w:rsidDel="00000000" w:rsidR="00000000" w:rsidRPr="00000000">
        <w:rPr>
          <w:b w:val="1"/>
          <w:rtl w:val="0"/>
        </w:rPr>
        <w:t xml:space="preserve"> </w:t>
      </w:r>
      <w:r w:rsidDel="00000000" w:rsidR="00000000" w:rsidRPr="00000000">
        <w:rPr>
          <w:b w:val="1"/>
          <w:i w:val="1"/>
          <w:color w:val="366091"/>
          <w:rtl w:val="0"/>
        </w:rPr>
        <w:t xml:space="preserve">27 avril 2022 –</w:t>
      </w:r>
      <w:r w:rsidDel="00000000" w:rsidR="00000000" w:rsidRPr="00000000">
        <w:rPr>
          <w:b w:val="1"/>
          <w:i w:val="1"/>
          <w:color w:val="366091"/>
          <w:rtl w:val="0"/>
        </w:rPr>
        <w:t xml:space="preserve"> 30</w:t>
      </w:r>
      <w:r w:rsidDel="00000000" w:rsidR="00000000" w:rsidRPr="00000000">
        <w:rPr>
          <w:b w:val="1"/>
          <w:i w:val="1"/>
          <w:color w:val="366091"/>
          <w:rtl w:val="0"/>
        </w:rPr>
        <w:t xml:space="preserve"> juin</w:t>
      </w:r>
      <w:r w:rsidDel="00000000" w:rsidR="00000000" w:rsidRPr="00000000">
        <w:rPr>
          <w:b w:val="1"/>
          <w:i w:val="1"/>
          <w:color w:val="366091"/>
          <w:rtl w:val="0"/>
        </w:rPr>
        <w:t xml:space="preserve"> 202</w:t>
      </w:r>
      <w:r w:rsidDel="00000000" w:rsidR="00000000" w:rsidRPr="00000000">
        <w:rPr>
          <w:b w:val="1"/>
          <w:i w:val="1"/>
          <w:color w:val="366091"/>
          <w:rtl w:val="0"/>
        </w:rPr>
        <w:t xml:space="preserve">2</w:t>
      </w:r>
      <w:r w:rsidDel="00000000" w:rsidR="00000000" w:rsidRPr="00000000">
        <w:rPr>
          <w:rtl w:val="0"/>
        </w:rPr>
      </w:r>
    </w:p>
    <w:p w:rsidR="00000000" w:rsidDel="00000000" w:rsidP="00000000" w:rsidRDefault="00000000" w:rsidRPr="00000000" w14:paraId="0000000B">
      <w:pPr>
        <w:pBdr>
          <w:top w:space="0" w:sz="0" w:val="nil"/>
          <w:left w:space="0" w:sz="0" w:val="nil"/>
          <w:right w:space="0" w:sz="0" w:val="nil"/>
          <w:between w:space="0" w:sz="0" w:val="nil"/>
        </w:pBdr>
        <w:spacing w:after="120" w:before="120" w:lineRule="auto"/>
        <w:ind w:hanging="288"/>
        <w:rPr>
          <w:b w:val="1"/>
          <w:i w:val="1"/>
          <w:color w:val="366091"/>
        </w:rPr>
      </w:pPr>
      <w:r w:rsidDel="00000000" w:rsidR="00000000" w:rsidRPr="00000000">
        <w:rPr>
          <w:b w:val="1"/>
          <w:rtl w:val="0"/>
        </w:rPr>
        <w:t xml:space="preserve">Responsable des activités:</w:t>
      </w:r>
      <w:r w:rsidDel="00000000" w:rsidR="00000000" w:rsidRPr="00000000">
        <w:rPr>
          <w:rtl w:val="0"/>
        </w:rPr>
        <w:t xml:space="preserve"> </w:t>
        <w:tab/>
      </w:r>
      <w:r w:rsidDel="00000000" w:rsidR="00000000" w:rsidRPr="00000000">
        <w:rPr>
          <w:b w:val="1"/>
          <w:i w:val="1"/>
          <w:color w:val="366091"/>
          <w:rtl w:val="0"/>
        </w:rPr>
        <w:t xml:space="preserve">Kristen Devlin</w:t>
      </w:r>
    </w:p>
    <w:p w:rsidR="00000000" w:rsidDel="00000000" w:rsidP="00000000" w:rsidRDefault="00000000" w:rsidRPr="00000000" w14:paraId="0000000C">
      <w:pPr>
        <w:pBdr>
          <w:top w:space="0" w:sz="0" w:val="nil"/>
          <w:left w:space="0" w:sz="0" w:val="nil"/>
          <w:right w:space="0" w:sz="0" w:val="nil"/>
          <w:between w:space="0" w:sz="0" w:val="nil"/>
        </w:pBdr>
        <w:spacing w:after="0" w:before="120" w:lineRule="auto"/>
        <w:ind w:hanging="288"/>
        <w:rPr>
          <w:b w:val="1"/>
          <w:color w:val="000000"/>
        </w:rPr>
      </w:pPr>
      <w:r w:rsidDel="00000000" w:rsidR="00000000" w:rsidRPr="00000000">
        <w:rPr>
          <w:b w:val="1"/>
          <w:color w:val="000000"/>
          <w:rtl w:val="0"/>
        </w:rPr>
        <w:t xml:space="preserve">Code d</w:t>
      </w:r>
      <w:r w:rsidDel="00000000" w:rsidR="00000000" w:rsidRPr="00000000">
        <w:rPr>
          <w:b w:val="1"/>
          <w:rtl w:val="0"/>
        </w:rPr>
        <w:t xml:space="preserve">’activite</w:t>
      </w:r>
      <w:r w:rsidDel="00000000" w:rsidR="00000000" w:rsidRPr="00000000">
        <w:rPr>
          <w:b w:val="1"/>
          <w:color w:val="000000"/>
          <w:rtl w:val="0"/>
        </w:rPr>
        <w:t xml:space="preserve">:</w:t>
      </w:r>
      <w:r w:rsidDel="00000000" w:rsidR="00000000" w:rsidRPr="00000000">
        <w:rPr>
          <w:b w:val="1"/>
          <w:rtl w:val="0"/>
        </w:rPr>
        <w:t xml:space="preserve"> </w:t>
      </w:r>
      <w:r w:rsidDel="00000000" w:rsidR="00000000" w:rsidRPr="00000000">
        <w:rPr>
          <w:b w:val="1"/>
          <w:i w:val="1"/>
          <w:color w:val="366091"/>
          <w:rtl w:val="0"/>
        </w:rPr>
        <w:t xml:space="preserve">37462.2207.</w:t>
      </w:r>
      <w:r w:rsidDel="00000000" w:rsidR="00000000" w:rsidRPr="00000000">
        <w:rPr>
          <w:b w:val="1"/>
          <w:i w:val="1"/>
          <w:color w:val="366091"/>
          <w:rtl w:val="0"/>
        </w:rPr>
        <w:t xml:space="preserve">00</w:t>
      </w:r>
      <w:r w:rsidDel="00000000" w:rsidR="00000000" w:rsidRPr="00000000">
        <w:rPr>
          <w:b w:val="1"/>
          <w:i w:val="1"/>
          <w:color w:val="366091"/>
          <w:rtl w:val="0"/>
        </w:rPr>
        <w:t xml:space="preserve">12</w:t>
      </w:r>
      <w:r w:rsidDel="00000000" w:rsidR="00000000" w:rsidRPr="00000000">
        <w:rPr>
          <w:rtl w:val="0"/>
        </w:rPr>
      </w:r>
    </w:p>
    <w:p w:rsidR="00000000" w:rsidDel="00000000" w:rsidP="00000000" w:rsidRDefault="00000000" w:rsidRPr="00000000" w14:paraId="0000000D">
      <w:pPr>
        <w:pBdr>
          <w:top w:space="0" w:sz="0" w:val="nil"/>
          <w:left w:space="0" w:sz="0" w:val="nil"/>
          <w:right w:space="0" w:sz="0" w:val="nil"/>
          <w:between w:space="0" w:sz="0" w:val="nil"/>
        </w:pBdr>
        <w:spacing w:after="0" w:before="120" w:lineRule="auto"/>
        <w:ind w:hanging="288"/>
        <w:rPr>
          <w:b w:val="1"/>
          <w:i w:val="1"/>
          <w:color w:val="366091"/>
        </w:rPr>
      </w:pPr>
      <w:r w:rsidDel="00000000" w:rsidR="00000000" w:rsidRPr="00000000">
        <w:rPr>
          <w:b w:val="1"/>
          <w:rtl w:val="0"/>
        </w:rPr>
        <w:t xml:space="preserve">Activité N° de projet interne</w:t>
      </w:r>
      <w:r w:rsidDel="00000000" w:rsidR="00000000" w:rsidRPr="00000000">
        <w:rPr>
          <w:b w:val="1"/>
          <w:color w:val="000000"/>
          <w:rtl w:val="0"/>
        </w:rPr>
        <w:t xml:space="preserve">:</w:t>
        <w:tab/>
      </w:r>
      <w:r w:rsidDel="00000000" w:rsidR="00000000" w:rsidRPr="00000000">
        <w:rPr>
          <w:b w:val="1"/>
          <w:i w:val="1"/>
          <w:color w:val="366091"/>
          <w:rtl w:val="0"/>
        </w:rPr>
        <w:t xml:space="preserve">2.5.I.2</w:t>
      </w:r>
    </w:p>
    <w:p w:rsidR="00000000" w:rsidDel="00000000" w:rsidP="00000000" w:rsidRDefault="00000000" w:rsidRPr="00000000" w14:paraId="0000000E">
      <w:pPr>
        <w:pBdr>
          <w:top w:space="0" w:sz="0" w:val="nil"/>
          <w:left w:space="0" w:sz="0" w:val="nil"/>
          <w:right w:space="0" w:sz="0" w:val="nil"/>
          <w:between w:space="0" w:sz="0" w:val="nil"/>
        </w:pBdr>
        <w:spacing w:after="120" w:before="120" w:lineRule="auto"/>
        <w:ind w:left="0" w:firstLine="0"/>
        <w:rPr>
          <w:color w:val="000000"/>
        </w:rPr>
      </w:pPr>
      <w:bookmarkStart w:colFirst="0" w:colLast="0" w:name="_30j0zll" w:id="1"/>
      <w:bookmarkEnd w:id="1"/>
      <w:r w:rsidDel="00000000" w:rsidR="00000000" w:rsidRPr="00000000">
        <w:rPr>
          <w:rtl w:val="0"/>
        </w:rPr>
      </w:r>
    </w:p>
    <w:bookmarkStart w:colFirst="0" w:colLast="0" w:name="1fob9te" w:id="2"/>
    <w:bookmarkEnd w:id="2"/>
    <w:bookmarkStart w:colFirst="0" w:colLast="0" w:name="3znysh7" w:id="3"/>
    <w:bookmarkEnd w:id="3"/>
    <w:p w:rsidR="00000000" w:rsidDel="00000000" w:rsidP="00000000" w:rsidRDefault="00000000" w:rsidRPr="00000000" w14:paraId="0000000F">
      <w:pPr>
        <w:pBdr>
          <w:top w:color="000000" w:space="7" w:sz="4" w:val="single"/>
          <w:left w:space="0" w:sz="0" w:val="nil"/>
          <w:bottom w:space="0" w:sz="0" w:val="nil"/>
          <w:right w:space="0" w:sz="0" w:val="nil"/>
          <w:between w:space="0" w:sz="0" w:val="nil"/>
        </w:pBdr>
        <w:spacing w:after="0" w:line="240" w:lineRule="auto"/>
        <w:ind w:hanging="288"/>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0" w:firstLine="0"/>
        <w:rPr>
          <w:b w:val="1"/>
          <w:i w:val="1"/>
        </w:rPr>
      </w:pPr>
      <w:r w:rsidDel="00000000" w:rsidR="00000000" w:rsidRPr="00000000">
        <w:rPr>
          <w:b w:val="1"/>
          <w:i w:val="1"/>
          <w:rtl w:val="0"/>
        </w:rPr>
        <w:t xml:space="preserve">S</w:t>
      </w:r>
      <w:r w:rsidDel="00000000" w:rsidR="00000000" w:rsidRPr="00000000">
        <w:rPr>
          <w:b w:val="1"/>
          <w:i w:val="1"/>
          <w:rtl w:val="0"/>
        </w:rPr>
        <w:t xml:space="preserve">ERVICES/ÉTENDUE DES TRAVAUX</w:t>
      </w:r>
      <w:r w:rsidDel="00000000" w:rsidR="00000000" w:rsidRPr="00000000">
        <w:rPr>
          <w:b w:val="1"/>
          <w:i w:val="1"/>
          <w:vertAlign w:val="superscript"/>
        </w:rPr>
        <w:footnoteReference w:customMarkFollows="0" w:id="0"/>
      </w:r>
      <w:r w:rsidDel="00000000" w:rsidR="00000000" w:rsidRPr="00000000">
        <w:rPr>
          <w:b w:val="1"/>
          <w:i w:val="1"/>
          <w:rtl w:val="0"/>
        </w:rPr>
        <w:t xml:space="preserve"> : Le contractant doit faire tous les efforts raisonnables pour exécuter les services suivants conformément aux conditions énoncées dans le présent accord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0" w:firstLine="0"/>
        <w:rPr>
          <w:b w:val="1"/>
          <w:color w:val="366091"/>
        </w:rPr>
      </w:pPr>
      <w:r w:rsidDel="00000000" w:rsidR="00000000" w:rsidRPr="00000000">
        <w:rPr>
          <w:b w:val="1"/>
          <w:color w:val="366091"/>
          <w:rtl w:val="0"/>
        </w:rPr>
        <w:t xml:space="preserve">A. Contexte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En 2020, le Bureau de la santé mondiale de l&amp;#39;Agence américaine pour le développement international (USAID) a accordé un financement au projet USAID Advancing Nutrition pour lancer un programme dans le cadre de l’Initiative pour de nouveaux partenariats (NPI) afin d’aider les organisations locales à combler les lacunes critiques en matière de nutrition aux niveaux sous-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nationaux au Burkina Faso. Dans le cadre de ce programme, le projet a accordé des subventions à</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deux organisations locales, SOS Sahel International Burkina Faso et PanAfricare, dans la région du</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Centre Ouest. Chaque organisation mène un projet visant à améliorer la santé et la nutrition des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femmes et des enfants, en mettant l’accent sur la période de 1000 jours entre la grossesse et le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deuxième anniversaire de l’enfant.</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Dans le cadre du programme de subventions NPI, USAID Advancing Nutrition travaille également</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avec les deux bénéficiaires pour renforcer leurs capacités techniques et organisationnelles afin de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devenir des partenaires plus efficaces pour l’USAID. En août et septembre 2021, USAID Advancing</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Nutrition a engagé un consultant pour faciliter une évaluation des capacités organisationnelles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(OCA) avec l’organisation et pour développer un plan d’action OCA pendant la durée de leurs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subventions.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Les plans d'action ont identifié l'administration et les ressources humaines comme des priorités de renforcement des capacités. Afin de soutenir le développement organisationnel dans ces domaines, les bénéficiaires et USAID AN ont décidé d'engager un consultant local pour travailler avec les bénéficiaires sur des sujets spécifiques qu'ils ont identifiés dans ces domaines. Plus précisément, SOS Sahel aimerait être soutenu dans la révision et la mise à jour du manuel de procédures de l'organisation, en portant une attention particulière aux composantes du personnel, et en orientant le personnel vers le manuel mis à jour. PanAfricare aimerait développer des modèles et des outils pour renforcer les processus administratifs et les intégrer dans leurs politiques existantes. PanAfricare demande également un soutien pour mettre à jour les procédures relatives aux ressources humaines, notamment en développant un plan de supervision</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25">
      <w:pPr>
        <w:spacing w:after="0" w:line="240" w:lineRule="auto"/>
        <w:ind w:left="360" w:firstLine="0"/>
        <w:rPr/>
      </w:pPr>
      <w:r w:rsidDel="00000000" w:rsidR="00000000" w:rsidRPr="00000000">
        <w:rPr>
          <w:rtl w:val="0"/>
        </w:rPr>
        <w:t xml:space="preserve">En janvier 2022, USAID Advancing Nutrition a décidé d'engager un consultant local pour aider les bénéficiaires à élaborer davantage leurs priorités en matière de renforcement des capacités liées à la politique administrative afin de mieux informer et structurer ce processus.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360" w:hanging="360"/>
        <w:rPr>
          <w:b w:val="1"/>
          <w:color w:val="002f6c"/>
        </w:rPr>
      </w:pPr>
      <w:r w:rsidDel="00000000" w:rsidR="00000000" w:rsidRPr="00000000">
        <w:rPr>
          <w:b w:val="1"/>
          <w:color w:val="002f6c"/>
          <w:rtl w:val="0"/>
        </w:rPr>
        <w:t xml:space="preserve">B.   Objectif</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0" w:firstLine="720"/>
        <w:rPr>
          <w:color w:val="00000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Aider le personnel clé des deux organisations à revoir et à mettre à jour leurs manuels de procédures administratives, leurs outils et les processus connexes, en mettant l'accent sur les ressources humaines et la dotation en personnel.</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360" w:hanging="360"/>
        <w:rPr>
          <w:b w:val="1"/>
          <w:color w:val="002f6c"/>
        </w:rPr>
      </w:pPr>
      <w:r w:rsidDel="00000000" w:rsidR="00000000" w:rsidRPr="00000000">
        <w:rPr>
          <w:b w:val="1"/>
          <w:color w:val="002f6c"/>
          <w:rtl w:val="0"/>
        </w:rPr>
        <w:t xml:space="preserve">C.   Activités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hanging="288"/>
        <w:rPr>
          <w:color w:val="000000"/>
        </w:rPr>
      </w:pPr>
      <w:r w:rsidDel="00000000" w:rsidR="00000000" w:rsidRPr="00000000">
        <w:rPr>
          <w:rtl w:val="0"/>
        </w:rPr>
      </w:r>
    </w:p>
    <w:p w:rsidR="00000000" w:rsidDel="00000000" w:rsidP="00000000" w:rsidRDefault="00000000" w:rsidRPr="00000000" w14:paraId="0000002E">
      <w:pPr>
        <w:pageBreakBefore w:val="0"/>
        <w:spacing w:after="0" w:line="240" w:lineRule="auto"/>
        <w:ind w:left="360" w:firstLine="0"/>
        <w:rPr/>
      </w:pPr>
      <w:r w:rsidDel="00000000" w:rsidR="00000000" w:rsidRPr="00000000">
        <w:rPr>
          <w:rtl w:val="0"/>
        </w:rPr>
        <w:t xml:space="preserve">Les activités du consultant se dérouleront principalement avec le personnel de PanAfricare et de SOS Sahel à Ouagadougou et/ou dans la région du Centre-Ouest du Burkina Faso, et/ou par communication à distance avec le personnel de USAID Advancing Nutrition basé aux Etats-Unis. Le consultant devra s'engager avec les bénéficiaires en personne, comme le permettent les directives locales COVID-19, et virtuellement si nécessaire.</w:t>
      </w:r>
    </w:p>
    <w:p w:rsidR="00000000" w:rsidDel="00000000" w:rsidP="00000000" w:rsidRDefault="00000000" w:rsidRPr="00000000" w14:paraId="0000002F">
      <w:pPr>
        <w:pageBreakBefore w:val="0"/>
        <w:spacing w:after="0" w:line="240" w:lineRule="auto"/>
        <w:ind w:left="360" w:firstLine="0"/>
        <w:rPr/>
      </w:pPr>
      <w:r w:rsidDel="00000000" w:rsidR="00000000" w:rsidRPr="00000000">
        <w:rPr>
          <w:rtl w:val="0"/>
        </w:rPr>
      </w:r>
    </w:p>
    <w:p w:rsidR="00000000" w:rsidDel="00000000" w:rsidP="00000000" w:rsidRDefault="00000000" w:rsidRPr="00000000" w14:paraId="00000030">
      <w:pPr>
        <w:pageBreakBefore w:val="0"/>
        <w:spacing w:after="0" w:line="240" w:lineRule="auto"/>
        <w:ind w:left="360" w:firstLine="0"/>
        <w:rPr>
          <w:b w:val="1"/>
        </w:rPr>
      </w:pPr>
      <w:r w:rsidDel="00000000" w:rsidR="00000000" w:rsidRPr="00000000">
        <w:rPr>
          <w:rtl w:val="0"/>
        </w:rPr>
        <w:t xml:space="preserve">Un résumé des activités du consultant est présenté ci-dessous :</w:t>
      </w:r>
      <w:r w:rsidDel="00000000" w:rsidR="00000000" w:rsidRPr="00000000">
        <w:rPr>
          <w:rtl w:val="0"/>
        </w:rPr>
      </w:r>
    </w:p>
    <w:p w:rsidR="00000000" w:rsidDel="00000000" w:rsidP="00000000" w:rsidRDefault="00000000" w:rsidRPr="00000000" w14:paraId="00000031">
      <w:pPr>
        <w:pageBreakBefore w:val="0"/>
        <w:spacing w:after="0" w:line="240" w:lineRule="auto"/>
        <w:ind w:left="720" w:firstLine="0"/>
        <w:rPr>
          <w:b w:val="1"/>
        </w:rPr>
      </w:pPr>
      <w:r w:rsidDel="00000000" w:rsidR="00000000" w:rsidRPr="00000000">
        <w:rPr>
          <w:rtl w:val="0"/>
        </w:rPr>
      </w:r>
    </w:p>
    <w:p w:rsidR="00000000" w:rsidDel="00000000" w:rsidP="00000000" w:rsidRDefault="00000000" w:rsidRPr="00000000" w14:paraId="00000032">
      <w:pPr>
        <w:numPr>
          <w:ilvl w:val="0"/>
          <w:numId w:val="2"/>
        </w:numPr>
        <w:spacing w:after="0" w:line="240" w:lineRule="auto"/>
        <w:ind w:left="1080" w:hanging="360"/>
      </w:pPr>
      <w:r w:rsidDel="00000000" w:rsidR="00000000" w:rsidRPr="00000000">
        <w:rPr>
          <w:b w:val="1"/>
          <w:rtl w:val="0"/>
        </w:rPr>
        <w:t xml:space="preserve">Planification :</w:t>
      </w:r>
      <w:r w:rsidDel="00000000" w:rsidR="00000000" w:rsidRPr="00000000">
        <w:rPr>
          <w:rtl w:val="0"/>
        </w:rPr>
        <w:t xml:space="preserve"> Participer à un appel de planification avec l'USAID Advancing Nutrition et examiner les documents pertinents (par exemple, les plans d'action de l'OCA).</w:t>
      </w:r>
    </w:p>
    <w:p w:rsidR="00000000" w:rsidDel="00000000" w:rsidP="00000000" w:rsidRDefault="00000000" w:rsidRPr="00000000" w14:paraId="00000033">
      <w:pPr>
        <w:numPr>
          <w:ilvl w:val="0"/>
          <w:numId w:val="2"/>
        </w:numPr>
        <w:spacing w:after="0" w:line="240" w:lineRule="auto"/>
        <w:ind w:left="1080" w:hanging="360"/>
      </w:pPr>
      <w:r w:rsidDel="00000000" w:rsidR="00000000" w:rsidRPr="00000000">
        <w:rPr>
          <w:b w:val="1"/>
          <w:rtl w:val="0"/>
        </w:rPr>
        <w:t xml:space="preserve">Évaluation des besoins : </w:t>
      </w:r>
      <w:r w:rsidDel="00000000" w:rsidR="00000000" w:rsidRPr="00000000">
        <w:rPr>
          <w:rtl w:val="0"/>
        </w:rPr>
        <w:t xml:space="preserve">Organiser des discussions avec les deux organisations pour mieux comprendre leurs besoins et leurs priorités en matière de mise à jour de leurs procédures administratives et de ressources humaines. </w:t>
      </w:r>
    </w:p>
    <w:p w:rsidR="00000000" w:rsidDel="00000000" w:rsidP="00000000" w:rsidRDefault="00000000" w:rsidRPr="00000000" w14:paraId="00000034">
      <w:pPr>
        <w:numPr>
          <w:ilvl w:val="0"/>
          <w:numId w:val="2"/>
        </w:numPr>
        <w:spacing w:after="0" w:line="240" w:lineRule="auto"/>
        <w:ind w:left="1080" w:hanging="360"/>
      </w:pPr>
      <w:r w:rsidDel="00000000" w:rsidR="00000000" w:rsidRPr="00000000">
        <w:rPr>
          <w:b w:val="1"/>
          <w:rtl w:val="0"/>
        </w:rPr>
        <w:t xml:space="preserve">Préparation : </w:t>
      </w:r>
      <w:r w:rsidDel="00000000" w:rsidR="00000000" w:rsidRPr="00000000">
        <w:rPr>
          <w:rtl w:val="0"/>
        </w:rPr>
        <w:t xml:space="preserve">Élaborer un plan décrivant le soutien à apporter à chaque organisation pour mettre à jour ses procédures administratives et de ressources humaines, y compris les objectifs, la manière dont le personnel sera engagé, les ressources nécessaires et le calendrier. Partagez ce plan avec l'USAID Advancing Nutrition et les bénéficiaires pour obtenir des commentaires et des suggestions avant de poursuivre. (Livrable 1)</w:t>
      </w:r>
    </w:p>
    <w:p w:rsidR="00000000" w:rsidDel="00000000" w:rsidP="00000000" w:rsidRDefault="00000000" w:rsidRPr="00000000" w14:paraId="00000035">
      <w:pPr>
        <w:numPr>
          <w:ilvl w:val="0"/>
          <w:numId w:val="2"/>
        </w:numPr>
        <w:spacing w:after="0" w:line="240" w:lineRule="auto"/>
        <w:ind w:left="1080" w:hanging="360"/>
      </w:pPr>
      <w:r w:rsidDel="00000000" w:rsidR="00000000" w:rsidRPr="00000000">
        <w:rPr>
          <w:b w:val="1"/>
          <w:rtl w:val="0"/>
        </w:rPr>
        <w:t xml:space="preserve">Mise en œuvre : </w:t>
      </w:r>
      <w:r w:rsidDel="00000000" w:rsidR="00000000" w:rsidRPr="00000000">
        <w:rPr>
          <w:rtl w:val="0"/>
        </w:rPr>
        <w:t xml:space="preserve">Conformément au plan décrit ci-dessus, travaillez avec le personnel clé des organisations pour examiner leurs processus actuels et les mettre à jour, en tenant compte de leurs besoins spécifiques et des meilleures pratiques. Cela peut inclure la révision des processus actuels, l'initiation de nouveaux processus et de nouvelles orientations, le développement de modèles et d'outils, et l'orientation du personnel. Dans la mesure où cela est possible et bénéfique, le consultant peut prévoir de rationaliser l'engagement avec les deux bénéficiaires si leurs priorités sont similaires.  Prenez des notes résumant les mesures prises au cours de chaque engagement avec les bénéficiaires, y compris les principaux points de discussion qui ont été soulevés et les prochaines étapes.</w:t>
      </w:r>
    </w:p>
    <w:p w:rsidR="00000000" w:rsidDel="00000000" w:rsidP="00000000" w:rsidRDefault="00000000" w:rsidRPr="00000000" w14:paraId="00000036">
      <w:pPr>
        <w:numPr>
          <w:ilvl w:val="0"/>
          <w:numId w:val="2"/>
        </w:numPr>
        <w:spacing w:after="0" w:line="240" w:lineRule="auto"/>
        <w:ind w:left="1080" w:hanging="360"/>
      </w:pPr>
      <w:r w:rsidDel="00000000" w:rsidR="00000000" w:rsidRPr="00000000">
        <w:rPr>
          <w:b w:val="1"/>
          <w:rtl w:val="0"/>
        </w:rPr>
        <w:t xml:space="preserve">Documentation et synthèse : </w:t>
      </w:r>
      <w:r w:rsidDel="00000000" w:rsidR="00000000" w:rsidRPr="00000000">
        <w:rPr>
          <w:rtl w:val="0"/>
        </w:rPr>
        <w:t xml:space="preserve">Rédigez un bref rapport décrivant le soutien apporté aux deux organisations. Joignez le plan, les notes et les politiques administratives, manuels, modèles et outils nouvellement développés ou mis à jour. (Livrable 2)</w:t>
      </w:r>
      <w:r w:rsidDel="00000000" w:rsidR="00000000" w:rsidRPr="00000000">
        <w:rPr>
          <w:rtl w:val="0"/>
        </w:rPr>
      </w:r>
    </w:p>
    <w:p w:rsidR="00000000" w:rsidDel="00000000" w:rsidP="00000000" w:rsidRDefault="00000000" w:rsidRPr="00000000" w14:paraId="00000037">
      <w:pPr>
        <w:pageBreakBefore w:val="0"/>
        <w:spacing w:after="0" w:line="240" w:lineRule="auto"/>
        <w:ind w:left="720" w:firstLine="0"/>
        <w:rPr>
          <w:b w:val="1"/>
        </w:rPr>
      </w:pPr>
      <w:r w:rsidDel="00000000" w:rsidR="00000000" w:rsidRPr="00000000">
        <w:rPr>
          <w:rtl w:val="0"/>
        </w:rPr>
      </w:r>
    </w:p>
    <w:p w:rsidR="00000000" w:rsidDel="00000000" w:rsidP="00000000" w:rsidRDefault="00000000" w:rsidRPr="00000000" w14:paraId="00000038">
      <w:pPr>
        <w:pageBreakBefore w:val="0"/>
        <w:spacing w:after="0" w:line="240" w:lineRule="auto"/>
        <w:ind w:left="1080" w:firstLine="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hanging="288"/>
        <w:rPr>
          <w:color w:val="000000"/>
        </w:rPr>
      </w:pPr>
      <w:r w:rsidDel="00000000" w:rsidR="00000000" w:rsidRPr="00000000">
        <w:rPr>
          <w:b w:val="1"/>
          <w:color w:val="002f6c"/>
          <w:rtl w:val="0"/>
        </w:rPr>
        <w:t xml:space="preserve">D.   Produits livrables et calendrier</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firstLine="288"/>
        <w:rPr>
          <w:b w:val="1"/>
          <w:i w:val="1"/>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firstLine="288"/>
        <w:rPr>
          <w:b w:val="1"/>
          <w:i w:val="1"/>
        </w:rPr>
      </w:pPr>
      <w:r w:rsidDel="00000000" w:rsidR="00000000" w:rsidRPr="00000000">
        <w:rPr>
          <w:b w:val="1"/>
          <w:i w:val="1"/>
          <w:rtl w:val="0"/>
        </w:rPr>
        <w:t xml:space="preserve">Le contractant est responsable de la soumission en temps voulu des produits livrables suivants, dans le cadre de la portée du travail:</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bl>
      <w:tblPr>
        <w:tblStyle w:val="Table1"/>
        <w:tblW w:w="93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
        <w:gridCol w:w="1905"/>
        <w:gridCol w:w="3045"/>
        <w:gridCol w:w="1530"/>
        <w:gridCol w:w="1875"/>
        <w:tblGridChange w:id="0">
          <w:tblGrid>
            <w:gridCol w:w="960"/>
            <w:gridCol w:w="1905"/>
            <w:gridCol w:w="3045"/>
            <w:gridCol w:w="1530"/>
            <w:gridCol w:w="1875"/>
          </w:tblGrid>
        </w:tblGridChange>
      </w:tblGrid>
      <w:tr>
        <w:trPr>
          <w:cantSplit w:val="0"/>
          <w:tblHeader w:val="0"/>
        </w:trPr>
        <w:tc>
          <w:tcPr>
            <w:vAlign w:val="center"/>
          </w:tcPr>
          <w:p w:rsidR="00000000" w:rsidDel="00000000" w:rsidP="00000000" w:rsidRDefault="00000000" w:rsidRPr="00000000" w14:paraId="0000003D">
            <w:pPr>
              <w:ind w:left="0" w:firstLine="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Numero du Livrable</w:t>
            </w:r>
          </w:p>
        </w:tc>
        <w:tc>
          <w:tcPr>
            <w:vAlign w:val="center"/>
          </w:tcPr>
          <w:p w:rsidR="00000000" w:rsidDel="00000000" w:rsidP="00000000" w:rsidRDefault="00000000" w:rsidRPr="00000000" w14:paraId="0000003E">
            <w:pPr>
              <w:ind w:left="0" w:firstLine="0"/>
              <w:rPr>
                <w:rFonts w:ascii="Calibri" w:cs="Calibri" w:eastAsia="Calibri" w:hAnsi="Calibri"/>
                <w:b w:val="1"/>
                <w:i w:val="1"/>
              </w:rPr>
            </w:pPr>
            <w:r w:rsidDel="00000000" w:rsidR="00000000" w:rsidRPr="00000000">
              <w:rPr>
                <w:rFonts w:ascii="Calibri" w:cs="Calibri" w:eastAsia="Calibri" w:hAnsi="Calibri"/>
                <w:b w:val="1"/>
                <w:i w:val="1"/>
                <w:sz w:val="22"/>
                <w:szCs w:val="22"/>
                <w:rtl w:val="0"/>
              </w:rPr>
              <w:t xml:space="preserve">Nom du livrable </w:t>
            </w:r>
            <w:r w:rsidDel="00000000" w:rsidR="00000000" w:rsidRPr="00000000">
              <w:rPr>
                <w:rtl w:val="0"/>
              </w:rPr>
            </w:r>
          </w:p>
        </w:tc>
        <w:tc>
          <w:tcPr>
            <w:vAlign w:val="center"/>
          </w:tcPr>
          <w:p w:rsidR="00000000" w:rsidDel="00000000" w:rsidP="00000000" w:rsidRDefault="00000000" w:rsidRPr="00000000" w14:paraId="0000003F">
            <w:pPr>
              <w:ind w:firstLine="288"/>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Description du livrable</w:t>
            </w:r>
          </w:p>
          <w:p w:rsidR="00000000" w:rsidDel="00000000" w:rsidP="00000000" w:rsidRDefault="00000000" w:rsidRPr="00000000" w14:paraId="00000040">
            <w:pPr>
              <w:ind w:firstLine="288"/>
              <w:rPr>
                <w:rFonts w:ascii="Calibri" w:cs="Calibri" w:eastAsia="Calibri" w:hAnsi="Calibri"/>
                <w:b w:val="1"/>
                <w:i w:val="1"/>
                <w:sz w:val="22"/>
                <w:szCs w:val="22"/>
              </w:rPr>
            </w:pPr>
            <w:r w:rsidDel="00000000" w:rsidR="00000000" w:rsidRPr="00000000">
              <w:rPr>
                <w:rtl w:val="0"/>
              </w:rPr>
            </w:r>
          </w:p>
        </w:tc>
        <w:tc>
          <w:tcPr>
            <w:vAlign w:val="center"/>
          </w:tcPr>
          <w:p w:rsidR="00000000" w:rsidDel="00000000" w:rsidP="00000000" w:rsidRDefault="00000000" w:rsidRPr="00000000" w14:paraId="00000041">
            <w:pPr>
              <w:ind w:firstLine="288"/>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Date d'échéance</w:t>
            </w:r>
          </w:p>
          <w:p w:rsidR="00000000" w:rsidDel="00000000" w:rsidP="00000000" w:rsidRDefault="00000000" w:rsidRPr="00000000" w14:paraId="00000042">
            <w:pPr>
              <w:ind w:firstLine="288"/>
              <w:rPr>
                <w:rFonts w:ascii="Calibri" w:cs="Calibri" w:eastAsia="Calibri" w:hAnsi="Calibri"/>
                <w:b w:val="1"/>
                <w:i w:val="1"/>
                <w:sz w:val="22"/>
                <w:szCs w:val="22"/>
              </w:rPr>
            </w:pPr>
            <w:r w:rsidDel="00000000" w:rsidR="00000000" w:rsidRPr="00000000">
              <w:rPr>
                <w:rtl w:val="0"/>
              </w:rPr>
            </w:r>
          </w:p>
        </w:tc>
        <w:tc>
          <w:tcPr>
            <w:vAlign w:val="center"/>
          </w:tcPr>
          <w:p w:rsidR="00000000" w:rsidDel="00000000" w:rsidP="00000000" w:rsidRDefault="00000000" w:rsidRPr="00000000" w14:paraId="00000043">
            <w:pPr>
              <w:ind w:left="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Valeur totale du produit livrable</w:t>
            </w:r>
          </w:p>
          <w:p w:rsidR="00000000" w:rsidDel="00000000" w:rsidP="00000000" w:rsidRDefault="00000000" w:rsidRPr="00000000" w14:paraId="00000044">
            <w:pPr>
              <w:ind w:left="0" w:firstLine="0"/>
              <w:rPr>
                <w:rFonts w:ascii="Calibri" w:cs="Calibri" w:eastAsia="Calibri" w:hAnsi="Calibri"/>
                <w:b w:val="1"/>
                <w:i w:val="1"/>
              </w:rPr>
            </w:pPr>
            <w:r w:rsidDel="00000000" w:rsidR="00000000" w:rsidRPr="00000000">
              <w:rPr>
                <w:rtl w:val="0"/>
              </w:rPr>
            </w:r>
          </w:p>
        </w:tc>
      </w:tr>
      <w:tr>
        <w:trPr>
          <w:cantSplit w:val="0"/>
          <w:tblHeader w:val="0"/>
        </w:trPr>
        <w:tc>
          <w:tcPr/>
          <w:p w:rsidR="00000000" w:rsidDel="00000000" w:rsidP="00000000" w:rsidRDefault="00000000" w:rsidRPr="00000000" w14:paraId="00000045">
            <w:pPr>
              <w:ind w:firstLine="288"/>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46">
            <w:pPr>
              <w:ind w:left="0" w:firstLine="0"/>
              <w:rPr>
                <w:rFonts w:ascii="Calibri" w:cs="Calibri" w:eastAsia="Calibri" w:hAnsi="Calibri"/>
              </w:rPr>
            </w:pPr>
            <w:r w:rsidDel="00000000" w:rsidR="00000000" w:rsidRPr="00000000">
              <w:rPr>
                <w:rFonts w:ascii="Calibri" w:cs="Calibri" w:eastAsia="Calibri" w:hAnsi="Calibri"/>
                <w:rtl w:val="0"/>
              </w:rPr>
              <w:t xml:space="preserve">Aperçu du soutien qui sera fourni à chaque organisation</w:t>
            </w:r>
          </w:p>
        </w:tc>
        <w:tc>
          <w:tcPr/>
          <w:p w:rsidR="00000000" w:rsidDel="00000000" w:rsidP="00000000" w:rsidRDefault="00000000" w:rsidRPr="00000000" w14:paraId="00000047">
            <w:pPr>
              <w:ind w:left="0" w:firstLine="0"/>
              <w:rPr>
                <w:rFonts w:ascii="Calibri" w:cs="Calibri" w:eastAsia="Calibri" w:hAnsi="Calibri"/>
              </w:rPr>
            </w:pPr>
            <w:r w:rsidDel="00000000" w:rsidR="00000000" w:rsidRPr="00000000">
              <w:rPr>
                <w:rFonts w:ascii="Calibri" w:cs="Calibri" w:eastAsia="Calibri" w:hAnsi="Calibri"/>
                <w:rtl w:val="0"/>
              </w:rPr>
              <w:t xml:space="preserve">Rapport résumant le soutien qui sera apporté aux deux organisations dans la révision et la mise à jour de leurs procédures administratives et de ressources humaines</w:t>
            </w:r>
            <w:r w:rsidDel="00000000" w:rsidR="00000000" w:rsidRPr="00000000">
              <w:rPr>
                <w:rtl w:val="0"/>
              </w:rPr>
            </w:r>
          </w:p>
        </w:tc>
        <w:tc>
          <w:tcPr/>
          <w:p w:rsidR="00000000" w:rsidDel="00000000" w:rsidP="00000000" w:rsidRDefault="00000000" w:rsidRPr="00000000" w14:paraId="00000048">
            <w:pPr>
              <w:ind w:firstLine="0"/>
              <w:rPr>
                <w:rFonts w:ascii="Calibri" w:cs="Calibri" w:eastAsia="Calibri" w:hAnsi="Calibri"/>
              </w:rPr>
            </w:pPr>
            <w:r w:rsidDel="00000000" w:rsidR="00000000" w:rsidRPr="00000000">
              <w:rPr>
                <w:rFonts w:ascii="Calibri" w:cs="Calibri" w:eastAsia="Calibri" w:hAnsi="Calibri"/>
                <w:rtl w:val="0"/>
              </w:rPr>
              <w:t xml:space="preserve">15 mai </w:t>
            </w:r>
            <w:r w:rsidDel="00000000" w:rsidR="00000000" w:rsidRPr="00000000">
              <w:rPr>
                <w:rFonts w:ascii="Calibri" w:cs="Calibri" w:eastAsia="Calibri" w:hAnsi="Calibri"/>
                <w:rtl w:val="0"/>
              </w:rPr>
              <w:t xml:space="preserve">202</w:t>
            </w: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49">
            <w:pPr>
              <w:ind w:firstLine="0"/>
              <w:rPr>
                <w:rFonts w:ascii="Calibri" w:cs="Calibri" w:eastAsia="Calibri" w:hAnsi="Calibri"/>
              </w:rPr>
            </w:pP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jours</w:t>
            </w:r>
            <w:r w:rsidDel="00000000" w:rsidR="00000000" w:rsidRPr="00000000">
              <w:rPr>
                <w:rtl w:val="0"/>
              </w:rPr>
            </w:r>
          </w:p>
        </w:tc>
      </w:tr>
      <w:tr>
        <w:trPr>
          <w:cantSplit w:val="0"/>
          <w:tblHeader w:val="0"/>
        </w:trP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Rapport résumant le soutien fourni aux deux organisations</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Rapport décrivant le soutien apporté aux deux organisations, ainsi que le plan, les notes et les politiques administratives, manuels, modèles et outils nouvellement élaborés ou mis à jour.</w:t>
            </w:r>
            <w:r w:rsidDel="00000000" w:rsidR="00000000" w:rsidRPr="00000000">
              <w:rPr>
                <w:rtl w:val="0"/>
              </w:rPr>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30 août 2022</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14 jours</w:t>
            </w:r>
          </w:p>
        </w:tc>
      </w:tr>
    </w:tbl>
    <w:p w:rsidR="00000000" w:rsidDel="00000000" w:rsidP="00000000" w:rsidRDefault="00000000" w:rsidRPr="00000000" w14:paraId="0000004F">
      <w:pPr>
        <w:spacing w:after="0" w:line="240" w:lineRule="auto"/>
        <w:ind w:left="360" w:firstLine="0"/>
        <w:rPr>
          <w:i w:val="1"/>
        </w:rPr>
      </w:pPr>
      <w:r w:rsidDel="00000000" w:rsidR="00000000" w:rsidRPr="00000000">
        <w:rPr>
          <w:rtl w:val="0"/>
        </w:rPr>
        <w:t xml:space="preserve">*</w:t>
      </w:r>
      <w:r w:rsidDel="00000000" w:rsidR="00000000" w:rsidRPr="00000000">
        <w:rPr>
          <w:i w:val="1"/>
          <w:rtl w:val="0"/>
        </w:rPr>
        <w:t xml:space="preserve">To be completed by the Contracts Manager. </w:t>
      </w:r>
    </w:p>
    <w:p w:rsidR="00000000" w:rsidDel="00000000" w:rsidP="00000000" w:rsidRDefault="00000000" w:rsidRPr="00000000" w14:paraId="00000050">
      <w:pPr>
        <w:spacing w:after="0" w:line="240" w:lineRule="auto"/>
        <w:ind w:left="360" w:firstLine="0"/>
        <w:rPr/>
      </w:pPr>
      <w:r w:rsidDel="00000000" w:rsidR="00000000" w:rsidRPr="00000000">
        <w:rPr>
          <w:rtl w:val="0"/>
        </w:rPr>
      </w:r>
    </w:p>
    <w:p w:rsidR="00000000" w:rsidDel="00000000" w:rsidP="00000000" w:rsidRDefault="00000000" w:rsidRPr="00000000" w14:paraId="00000051">
      <w:pPr>
        <w:spacing w:after="0" w:line="240" w:lineRule="auto"/>
        <w:ind w:left="360" w:firstLine="0"/>
        <w:rPr/>
      </w:pPr>
      <w:r w:rsidDel="00000000" w:rsidR="00000000" w:rsidRPr="00000000">
        <w:rPr>
          <w:rtl w:val="0"/>
        </w:rPr>
        <w:t xml:space="preserve">Le LOE total est approximativement équivalent à </w:t>
      </w:r>
      <w:r w:rsidDel="00000000" w:rsidR="00000000" w:rsidRPr="00000000">
        <w:rPr>
          <w:b w:val="1"/>
          <w:rtl w:val="0"/>
        </w:rPr>
        <w:t xml:space="preserve">20 jours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2">
      <w:pPr>
        <w:spacing w:after="0" w:line="240" w:lineRule="auto"/>
        <w:ind w:left="360" w:firstLine="0"/>
        <w:rPr/>
      </w:pPr>
      <w:r w:rsidDel="00000000" w:rsidR="00000000" w:rsidRPr="00000000">
        <w:rPr>
          <w:rtl w:val="0"/>
        </w:rPr>
      </w:r>
    </w:p>
    <w:p w:rsidR="00000000" w:rsidDel="00000000" w:rsidP="00000000" w:rsidRDefault="00000000" w:rsidRPr="00000000" w14:paraId="00000053">
      <w:pPr>
        <w:spacing w:after="0" w:line="240" w:lineRule="auto"/>
        <w:ind w:left="360" w:firstLine="0"/>
        <w:rPr/>
      </w:pPr>
      <w:r w:rsidDel="00000000" w:rsidR="00000000" w:rsidRPr="00000000">
        <w:rPr>
          <w:rtl w:val="0"/>
        </w:rPr>
        <w:t xml:space="preserve">Tous les produits livrables et les rapports requis doivent être soumis au responsable d&amp;#39;activité de JSI dont le nom figure à la page 1.</w:t>
      </w:r>
    </w:p>
    <w:p w:rsidR="00000000" w:rsidDel="00000000" w:rsidP="00000000" w:rsidRDefault="00000000" w:rsidRPr="00000000" w14:paraId="00000054">
      <w:pPr>
        <w:spacing w:after="0" w:line="240" w:lineRule="auto"/>
        <w:ind w:left="360" w:firstLine="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hanging="288"/>
        <w:rPr>
          <w:b w:val="1"/>
          <w:color w:val="002f6c"/>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hanging="288"/>
        <w:rPr>
          <w:b w:val="1"/>
          <w:color w:val="002f6c"/>
        </w:rPr>
      </w:pPr>
      <w:r w:rsidDel="00000000" w:rsidR="00000000" w:rsidRPr="00000000">
        <w:rPr>
          <w:b w:val="1"/>
          <w:color w:val="002f6c"/>
          <w:rtl w:val="0"/>
        </w:rPr>
        <w:t xml:space="preserve">E.   Qualifications des consultants</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pacing w:after="0" w:line="240" w:lineRule="auto"/>
        <w:ind w:left="0" w:firstLine="0"/>
        <w:jc w:val="both"/>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Maîtrise supérieur ou universitaire et plus de 7 ans d'expérience professionnelle en ressources humaines/ politique administrative</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Expérience des règles et règlements de l'USAID</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Expérience de l'engagement/du partenariat avec des organisations non gouvernementales et/ou des organisations de la société civile de taille petite à moyenne, en particulier pour soutenir les priorités de renforcement des capacités du personnel.</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Expérience en matière de mentorat, de coaching et/ou de soutien individuel pour renforcer les compétences.</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Capacité à établir et à maintenir des partenariats qui favorisent la confiance.</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Capacité à élaborer et à soumettre des produits livrables de haute qualité dans les délais impartis.</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Capacité à mener le travail en collaboration et en tenant compte des différences culturelles.</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Solides compétences en communication et souci du détail</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Compétence professionnelle en français oral et écrit. La maîtrise de l'anglais est un atout.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 w:name="Gill San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28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ba0c2f"/>
        <w:sz w:val="20"/>
        <w:szCs w:val="20"/>
        <w:u w:val="none"/>
        <w:shd w:fill="auto" w:val="clear"/>
        <w:vertAlign w:val="baseline"/>
        <w:rtl w:val="0"/>
      </w:rPr>
      <w:t xml:space="preserve">USAID Advancing Nutrition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Consultant/Partner/Vendor Scope of Work (</w:t>
    </w:r>
    <w:r w:rsidDel="00000000" w:rsidR="00000000" w:rsidRPr="00000000">
      <w:rPr>
        <w:rFonts w:ascii="Cambria" w:cs="Cambria" w:eastAsia="Cambria" w:hAnsi="Cambria"/>
        <w:b w:val="0"/>
        <w:i w:val="0"/>
        <w:smallCaps w:val="0"/>
        <w:strike w:val="0"/>
        <w:color w:val="0070c0"/>
        <w:sz w:val="20"/>
        <w:szCs w:val="20"/>
        <w:u w:val="none"/>
        <w:shd w:fill="auto" w:val="clear"/>
        <w:vertAlign w:val="baseline"/>
        <w:rtl w:val="0"/>
      </w:rPr>
      <w:t xml:space="preserve">Consultant NAME | Month Year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tab/>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88" w:right="0"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 xml:space="preserve">PO #/Agreement #: </w:t>
    </w:r>
    <w:r w:rsidDel="00000000" w:rsidR="00000000" w:rsidRPr="00000000">
      <w:rPr>
        <w:rFonts w:ascii="Cambria" w:cs="Cambria" w:eastAsia="Cambria" w:hAnsi="Cambria"/>
        <w:b w:val="1"/>
        <w:i w:val="0"/>
        <w:smallCaps w:val="0"/>
        <w:strike w:val="0"/>
        <w:color w:val="0070c0"/>
        <w:sz w:val="20"/>
        <w:szCs w:val="20"/>
        <w:u w:val="none"/>
        <w:shd w:fill="auto" w:val="clear"/>
        <w:vertAlign w:val="baseline"/>
        <w:rtl w:val="0"/>
      </w:rPr>
      <w:t xml:space="preserve">XXXXXXXXXX</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28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ba0c2f"/>
        <w:sz w:val="20"/>
        <w:szCs w:val="20"/>
        <w:u w:val="none"/>
        <w:shd w:fill="auto" w:val="clear"/>
        <w:vertAlign w:val="baseline"/>
        <w:rtl w:val="0"/>
      </w:rPr>
      <w:t xml:space="preserve">USAID Advancing Nutrition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Consultant/Partner/Vendor Scope of Work (</w:t>
    </w:r>
    <w:r w:rsidDel="00000000" w:rsidR="00000000" w:rsidRPr="00000000">
      <w:rPr>
        <w:rFonts w:ascii="Cambria" w:cs="Cambria" w:eastAsia="Cambria" w:hAnsi="Cambria"/>
        <w:b w:val="0"/>
        <w:i w:val="0"/>
        <w:smallCaps w:val="0"/>
        <w:strike w:val="0"/>
        <w:color w:val="0070c0"/>
        <w:sz w:val="20"/>
        <w:szCs w:val="20"/>
        <w:u w:val="none"/>
        <w:shd w:fill="auto" w:val="clear"/>
        <w:vertAlign w:val="baseline"/>
        <w:rtl w:val="0"/>
      </w:rPr>
      <w:t xml:space="preserve">Consultant NAME | Month Year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tab/>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88" w:right="0"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 xml:space="preserve">PO #/Agreement #:</w:t>
    </w:r>
    <w:r w:rsidDel="00000000" w:rsidR="00000000" w:rsidRPr="00000000">
      <w:rPr>
        <w:rFonts w:ascii="Cambria" w:cs="Cambria" w:eastAsia="Cambria" w:hAnsi="Cambria"/>
        <w:b w:val="0"/>
        <w:i w:val="0"/>
        <w:smallCaps w:val="0"/>
        <w:strike w:val="0"/>
        <w:color w:val="0070c0"/>
        <w:sz w:val="20"/>
        <w:szCs w:val="20"/>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70c0"/>
        <w:sz w:val="20"/>
        <w:szCs w:val="20"/>
        <w:u w:val="none"/>
        <w:shd w:fill="auto" w:val="clear"/>
        <w:vertAlign w:val="baseline"/>
        <w:rtl w:val="0"/>
      </w:rPr>
      <w:t xml:space="preserve">XXXXXXXXXX</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L’approbation de l’USAID est requise avant tout voyage et les paiements associés au voyage, aux</w:t>
      </w:r>
    </w:p>
    <w:p w:rsidR="00000000" w:rsidDel="00000000" w:rsidP="00000000" w:rsidRDefault="00000000" w:rsidRPr="00000000" w14:paraId="00000069">
      <w:pPr>
        <w:spacing w:after="0" w:line="240" w:lineRule="auto"/>
        <w:rPr>
          <w:sz w:val="20"/>
          <w:szCs w:val="20"/>
        </w:rPr>
      </w:pPr>
      <w:r w:rsidDel="00000000" w:rsidR="00000000" w:rsidRPr="00000000">
        <w:rPr>
          <w:sz w:val="20"/>
          <w:szCs w:val="20"/>
          <w:rtl w:val="0"/>
        </w:rPr>
        <w:t xml:space="preserve">tâches/responsabilités/réalisations ou paiements liés au voyage sont subordonnés à l’approbation de l’USAID.</w:t>
      </w:r>
    </w:p>
    <w:p w:rsidR="00000000" w:rsidDel="00000000" w:rsidP="00000000" w:rsidRDefault="00000000" w:rsidRPr="00000000" w14:paraId="0000006A">
      <w:pPr>
        <w:spacing w:after="0" w:line="240" w:lineRule="auto"/>
        <w:rPr>
          <w:sz w:val="20"/>
          <w:szCs w:val="20"/>
        </w:rPr>
      </w:pPr>
      <w:r w:rsidDel="00000000" w:rsidR="00000000" w:rsidRPr="00000000">
        <w:rPr>
          <w:sz w:val="20"/>
          <w:szCs w:val="20"/>
          <w:rtl w:val="0"/>
        </w:rPr>
        <w:t xml:space="preserve">Le consultant devra également fournir des documents attestant d’une autorisation médicale.</w:t>
      </w:r>
    </w:p>
    <w:p w:rsidR="00000000" w:rsidDel="00000000" w:rsidP="00000000" w:rsidRDefault="00000000" w:rsidRPr="00000000" w14:paraId="0000006B">
      <w:pPr>
        <w:spacing w:after="0"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ind w:left="0" w:hanging="288"/>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-97788</wp:posOffset>
          </wp:positionH>
          <wp:positionV relativeFrom="paragraph">
            <wp:posOffset>-23493</wp:posOffset>
          </wp:positionV>
          <wp:extent cx="2209800" cy="6953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13331" l="8300" r="0" t="11666"/>
                  <a:stretch>
                    <a:fillRect/>
                  </a:stretch>
                </pic:blipFill>
                <pic:spPr>
                  <a:xfrm>
                    <a:off x="0" y="0"/>
                    <a:ext cx="2209800" cy="6953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color="d9d9d9" w:space="1" w:sz="4" w:val="single"/>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808080"/>
        <w:sz w:val="20"/>
        <w:szCs w:val="20"/>
        <w:u w:val="none"/>
        <w:shd w:fill="auto" w:val="clear"/>
        <w:vertAlign w:val="baseline"/>
        <w:rtl w:val="0"/>
      </w:rPr>
      <w:tab/>
      <w:t xml:space="preserve">                  </w:t>
      <w:tab/>
      <w:t xml:space="preserve">   Page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upperLetter"/>
      <w:lvlText w:val="%1."/>
      <w:lvlJc w:val="left"/>
      <w:pPr>
        <w:ind w:left="1080" w:hanging="360"/>
      </w:pPr>
      <w:rPr>
        <w:rFonts w:ascii="Gill Sans" w:cs="Gill Sans" w:eastAsia="Gill Sans" w:hAnsi="Gill Sans"/>
        <w:b w:val="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ind w:left="288"/>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entury Gothic" w:cs="Century Gothic" w:eastAsia="Century Gothic" w:hAnsi="Century Gothic"/>
      <w:b w:val="1"/>
      <w:sz w:val="32"/>
      <w:szCs w:val="32"/>
    </w:rPr>
  </w:style>
  <w:style w:type="paragraph" w:styleId="Heading2">
    <w:name w:val="heading 2"/>
    <w:basedOn w:val="Normal"/>
    <w:next w:val="Normal"/>
    <w:pPr>
      <w:keepNext w:val="1"/>
      <w:keepLines w:val="1"/>
      <w:spacing w:after="0" w:before="200" w:lineRule="auto"/>
    </w:pPr>
    <w:rPr>
      <w:rFonts w:ascii="Century Gothic" w:cs="Century Gothic" w:eastAsia="Century Gothic" w:hAnsi="Century Gothic"/>
      <w:b w:val="1"/>
      <w:color w:val="91993e"/>
      <w:sz w:val="26"/>
      <w:szCs w:val="26"/>
    </w:rPr>
  </w:style>
  <w:style w:type="paragraph" w:styleId="Heading3">
    <w:name w:val="heading 3"/>
    <w:basedOn w:val="Normal"/>
    <w:next w:val="Normal"/>
    <w:pPr>
      <w:keepNext w:val="1"/>
      <w:keepLines w:val="1"/>
      <w:spacing w:after="0" w:before="200" w:lineRule="auto"/>
    </w:pPr>
    <w:rPr>
      <w:rFonts w:ascii="Century Gothic" w:cs="Century Gothic" w:eastAsia="Century Gothic" w:hAnsi="Century Gothic"/>
      <w:b w:val="1"/>
      <w:color w:val="91993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91993e" w:space="4" w:sz="8" w:val="single"/>
      </w:pBdr>
      <w:spacing w:after="300" w:line="240" w:lineRule="auto"/>
    </w:pPr>
    <w:rPr>
      <w:rFonts w:ascii="Century Gothic" w:cs="Century Gothic" w:eastAsia="Century Gothic" w:hAnsi="Century Gothic"/>
      <w:color w:val="354b21"/>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ind w:left="0"/>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