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8DD" w:rsidRDefault="005528DD">
      <w:pPr>
        <w:pBdr>
          <w:top w:val="nil"/>
          <w:left w:val="nil"/>
          <w:bottom w:val="none" w:sz="0" w:space="0" w:color="000000"/>
          <w:right w:val="nil"/>
          <w:between w:val="nil"/>
        </w:pBdr>
        <w:spacing w:after="0" w:line="240" w:lineRule="auto"/>
        <w:ind w:left="0"/>
        <w:rPr>
          <w:color w:val="002F6C"/>
          <w:sz w:val="48"/>
          <w:szCs w:val="48"/>
        </w:rPr>
      </w:pPr>
    </w:p>
    <w:p w:rsidR="005528DD" w:rsidRDefault="005528DD">
      <w:pPr>
        <w:pBdr>
          <w:top w:val="nil"/>
          <w:left w:val="nil"/>
          <w:bottom w:val="none" w:sz="0" w:space="0" w:color="000000"/>
          <w:right w:val="nil"/>
          <w:between w:val="nil"/>
        </w:pBdr>
        <w:spacing w:after="0" w:line="240" w:lineRule="auto"/>
        <w:ind w:left="0"/>
        <w:rPr>
          <w:color w:val="002F6C"/>
          <w:sz w:val="48"/>
          <w:szCs w:val="48"/>
        </w:rPr>
      </w:pPr>
    </w:p>
    <w:p w:rsidR="005528DD" w:rsidRDefault="004B37B1">
      <w:pPr>
        <w:pBdr>
          <w:top w:val="nil"/>
          <w:left w:val="nil"/>
          <w:bottom w:val="none" w:sz="0" w:space="0" w:color="000000"/>
          <w:right w:val="nil"/>
          <w:between w:val="nil"/>
        </w:pBdr>
        <w:spacing w:before="120" w:after="300" w:line="240" w:lineRule="auto"/>
        <w:ind w:hanging="288"/>
        <w:jc w:val="center"/>
        <w:rPr>
          <w:color w:val="002F6C"/>
          <w:sz w:val="48"/>
          <w:szCs w:val="48"/>
        </w:rPr>
      </w:pPr>
      <w:r>
        <w:rPr>
          <w:color w:val="002F6C"/>
          <w:sz w:val="48"/>
          <w:szCs w:val="48"/>
        </w:rPr>
        <w:t>Termes de référence d’un outil pilote d'évaluation rapide sur la gouvernance de la nutrition au Burkina Faso</w:t>
      </w:r>
    </w:p>
    <w:p w:rsidR="005528DD" w:rsidRDefault="004B37B1">
      <w:pPr>
        <w:pBdr>
          <w:top w:val="nil"/>
          <w:left w:val="nil"/>
          <w:bottom w:val="none" w:sz="0" w:space="0" w:color="000000"/>
          <w:right w:val="nil"/>
          <w:between w:val="nil"/>
        </w:pBdr>
        <w:spacing w:before="120" w:after="300" w:line="240" w:lineRule="auto"/>
        <w:ind w:hanging="288"/>
        <w:rPr>
          <w:color w:val="6C6463"/>
          <w:sz w:val="40"/>
          <w:szCs w:val="40"/>
        </w:rPr>
        <w:sectPr w:rsidR="005528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pPr>
      <w:r>
        <w:rPr>
          <w:color w:val="6C6463"/>
          <w:sz w:val="40"/>
          <w:szCs w:val="40"/>
        </w:rPr>
        <w:t xml:space="preserve">USAID </w:t>
      </w:r>
      <w:proofErr w:type="spellStart"/>
      <w:r>
        <w:rPr>
          <w:color w:val="6C6463"/>
          <w:sz w:val="40"/>
          <w:szCs w:val="40"/>
        </w:rPr>
        <w:t>Advancing</w:t>
      </w:r>
      <w:proofErr w:type="spellEnd"/>
      <w:r>
        <w:rPr>
          <w:color w:val="6C6463"/>
          <w:sz w:val="40"/>
          <w:szCs w:val="40"/>
        </w:rPr>
        <w:t xml:space="preserve"> Nutrition Équipe Technique</w:t>
      </w:r>
    </w:p>
    <w:p w:rsidR="005528DD" w:rsidRDefault="005528DD" w:rsidP="00587A50">
      <w:pPr>
        <w:pBdr>
          <w:top w:val="single" w:sz="4" w:space="7" w:color="000000"/>
          <w:left w:val="nil"/>
          <w:bottom w:val="nil"/>
          <w:right w:val="nil"/>
          <w:between w:val="nil"/>
        </w:pBdr>
        <w:spacing w:after="0" w:line="240" w:lineRule="auto"/>
        <w:ind w:left="0"/>
        <w:rPr>
          <w:color w:val="000000"/>
        </w:rPr>
      </w:pPr>
      <w:bookmarkStart w:id="0" w:name="bookmark=id.gjdgxs" w:colFirst="0" w:colLast="0"/>
      <w:bookmarkStart w:id="1" w:name="bookmark=id.1fob9te" w:colFirst="0" w:colLast="0"/>
      <w:bookmarkStart w:id="2" w:name="bookmark=id.3znysh7" w:colFirst="0" w:colLast="0"/>
      <w:bookmarkEnd w:id="0"/>
      <w:bookmarkEnd w:id="1"/>
      <w:bookmarkEnd w:id="2"/>
    </w:p>
    <w:p w:rsidR="005528DD" w:rsidRDefault="004B37B1">
      <w:pPr>
        <w:spacing w:after="0" w:line="240" w:lineRule="auto"/>
        <w:ind w:left="0"/>
        <w:rPr>
          <w:b/>
          <w:i/>
        </w:rPr>
      </w:pPr>
      <w:r>
        <w:rPr>
          <w:b/>
          <w:i/>
          <w:u w:val="single"/>
        </w:rPr>
        <w:t>SERVICES/ÉTENDUE DES TRAVAUX :</w:t>
      </w:r>
      <w:r>
        <w:rPr>
          <w:b/>
          <w:i/>
        </w:rPr>
        <w:t xml:space="preserve"> Le contractant fera tous les efforts raisonnables pour exécuter les services suivants conformément aux termes et conditions énoncés dans le présent accord :</w:t>
      </w:r>
    </w:p>
    <w:p w:rsidR="005528DD" w:rsidRDefault="005528DD">
      <w:pPr>
        <w:spacing w:after="0" w:line="240" w:lineRule="auto"/>
        <w:ind w:left="0"/>
      </w:pPr>
    </w:p>
    <w:p w:rsidR="005528DD" w:rsidRDefault="004B37B1">
      <w:pPr>
        <w:numPr>
          <w:ilvl w:val="0"/>
          <w:numId w:val="3"/>
        </w:numPr>
        <w:pBdr>
          <w:top w:val="nil"/>
          <w:left w:val="nil"/>
          <w:bottom w:val="nil"/>
          <w:right w:val="nil"/>
          <w:between w:val="nil"/>
        </w:pBdr>
        <w:spacing w:after="0" w:line="240" w:lineRule="auto"/>
        <w:rPr>
          <w:b/>
          <w:color w:val="002F6C"/>
        </w:rPr>
      </w:pPr>
      <w:r>
        <w:rPr>
          <w:b/>
          <w:color w:val="002F6C"/>
        </w:rPr>
        <w:t>Contexte</w:t>
      </w:r>
    </w:p>
    <w:p w:rsidR="005528DD" w:rsidRDefault="005528DD">
      <w:pPr>
        <w:pBdr>
          <w:top w:val="nil"/>
          <w:left w:val="nil"/>
          <w:bottom w:val="nil"/>
          <w:right w:val="nil"/>
          <w:between w:val="nil"/>
        </w:pBdr>
        <w:spacing w:after="0" w:line="240" w:lineRule="auto"/>
        <w:ind w:left="360" w:hanging="360"/>
        <w:rPr>
          <w:color w:val="000000"/>
        </w:rPr>
      </w:pPr>
    </w:p>
    <w:p w:rsidR="005528DD" w:rsidRDefault="004B37B1">
      <w:pPr>
        <w:pBdr>
          <w:top w:val="nil"/>
          <w:left w:val="nil"/>
          <w:bottom w:val="nil"/>
          <w:right w:val="nil"/>
          <w:between w:val="nil"/>
        </w:pBdr>
        <w:spacing w:after="0" w:line="240" w:lineRule="auto"/>
        <w:ind w:left="360"/>
        <w:rPr>
          <w:color w:val="000000"/>
        </w:rPr>
      </w:pPr>
      <w:r>
        <w:rPr>
          <w:color w:val="000000"/>
        </w:rPr>
        <w:t>La bonne gouvernance contribue à la mise en place d'un environnement favorable aux programmes de nutrition, en garantissant la responsabilité, l'engagement et le leadership dans les différents secteurs et niveaux de gouvernement. Grâce au travail mené par le Mouvement pour la mise à l'échelle de la nutrition (</w:t>
      </w:r>
      <w:proofErr w:type="spellStart"/>
      <w:r>
        <w:rPr>
          <w:color w:val="000000"/>
        </w:rPr>
        <w:t>Scaling</w:t>
      </w:r>
      <w:proofErr w:type="spellEnd"/>
      <w:r>
        <w:rPr>
          <w:color w:val="000000"/>
        </w:rPr>
        <w:t xml:space="preserve">-up Nutrition [SUN]), de nombreux pays ont mis en place des politiques, des stratégies et des plans opérationnels multisectoriels en matière de nutrition. La mise en œuvre et la supervision de ces documents politiques sont souvent placées sous la direction et la supervision de comités de coordination nationaux et sous-nationaux. Malheureusement, ces </w:t>
      </w:r>
      <w:proofErr w:type="gramStart"/>
      <w:r>
        <w:rPr>
          <w:color w:val="000000"/>
        </w:rPr>
        <w:t>comités</w:t>
      </w:r>
      <w:proofErr w:type="gramEnd"/>
      <w:r>
        <w:rPr>
          <w:color w:val="000000"/>
        </w:rPr>
        <w:t xml:space="preserve"> manquent souvent de ressources et ont besoin d'un soutien pour renforcer leurs capacités.</w:t>
      </w:r>
    </w:p>
    <w:p w:rsidR="005528DD" w:rsidRDefault="005528DD">
      <w:pPr>
        <w:pBdr>
          <w:top w:val="nil"/>
          <w:left w:val="nil"/>
          <w:bottom w:val="nil"/>
          <w:right w:val="nil"/>
          <w:between w:val="nil"/>
        </w:pBdr>
        <w:spacing w:after="0" w:line="240" w:lineRule="auto"/>
        <w:ind w:left="360"/>
        <w:rPr>
          <w:color w:val="000000"/>
        </w:rPr>
      </w:pPr>
    </w:p>
    <w:p w:rsidR="005528DD" w:rsidRDefault="004B37B1">
      <w:pPr>
        <w:pBdr>
          <w:top w:val="nil"/>
          <w:left w:val="nil"/>
          <w:bottom w:val="nil"/>
          <w:right w:val="nil"/>
          <w:between w:val="nil"/>
        </w:pBdr>
        <w:spacing w:after="0" w:line="240" w:lineRule="auto"/>
        <w:ind w:left="360"/>
      </w:pPr>
      <w:r>
        <w:t xml:space="preserve">Le gouvernement du Burkina Faso (GOBF) a mis en place plusieurs plateformes de coordination multisectorielle de la nutrition dans le but de rassembler tous les secteurs en faveur d'objectifs communs en matière de nutrition. Cependant, ces plateformes de coordination ont subi plusieurs changements depuis leur création et il est nécessaire de mieux comprendre comment leurs rôles et responsabilités sont intégrés dans des systèmes de gouvernance plus larges et comment ces entités se coordonnent entre elles et avec leurs partenaires de mise en œuvre. </w:t>
      </w:r>
    </w:p>
    <w:p w:rsidR="005528DD" w:rsidRDefault="005528DD">
      <w:pPr>
        <w:pBdr>
          <w:top w:val="nil"/>
          <w:left w:val="nil"/>
          <w:bottom w:val="nil"/>
          <w:right w:val="nil"/>
          <w:between w:val="nil"/>
        </w:pBdr>
        <w:spacing w:after="0" w:line="240" w:lineRule="auto"/>
        <w:ind w:left="360"/>
      </w:pPr>
    </w:p>
    <w:p w:rsidR="005528DD" w:rsidRDefault="004B37B1">
      <w:pPr>
        <w:pBdr>
          <w:top w:val="nil"/>
          <w:left w:val="nil"/>
          <w:bottom w:val="nil"/>
          <w:right w:val="nil"/>
          <w:between w:val="nil"/>
        </w:pBdr>
        <w:spacing w:after="0" w:line="240" w:lineRule="auto"/>
        <w:ind w:left="360"/>
      </w:pPr>
      <w:r>
        <w:t>En juillet 2021, afin de renforcer la coordination et le suivi des activités incluses dans la Politique nationale multisectorielle de nutrition 2020-2029 et le Plan Stratégique Multisectoriel de Nutrition 2020-2024 (PSMN), le GOBF a adopté un décret établissant le Conseil national pour la nutrition (</w:t>
      </w:r>
      <w:proofErr w:type="spellStart"/>
      <w:r>
        <w:t>CNaN</w:t>
      </w:r>
      <w:proofErr w:type="spellEnd"/>
      <w:r>
        <w:t xml:space="preserve">). Le </w:t>
      </w:r>
      <w:proofErr w:type="spellStart"/>
      <w:r>
        <w:t>CNaN</w:t>
      </w:r>
      <w:proofErr w:type="spellEnd"/>
      <w:r>
        <w:t xml:space="preserve"> est rattaché à la Présidence de la République et a remplacé le Conseil national de concertation en nutrition (CNCN) comme plateforme de concertation multisectorielle pour les interventions visant à réduire la malnutrition sous toutes ses formes au Burkina Faso. </w:t>
      </w:r>
    </w:p>
    <w:p w:rsidR="005528DD" w:rsidRDefault="005528DD">
      <w:pPr>
        <w:pBdr>
          <w:top w:val="nil"/>
          <w:left w:val="nil"/>
          <w:bottom w:val="nil"/>
          <w:right w:val="nil"/>
          <w:between w:val="nil"/>
        </w:pBdr>
        <w:spacing w:after="0" w:line="240" w:lineRule="auto"/>
        <w:ind w:left="360"/>
      </w:pPr>
    </w:p>
    <w:p w:rsidR="005528DD" w:rsidRDefault="004B37B1">
      <w:pPr>
        <w:pBdr>
          <w:top w:val="nil"/>
          <w:left w:val="nil"/>
          <w:bottom w:val="nil"/>
          <w:right w:val="nil"/>
          <w:between w:val="nil"/>
        </w:pBdr>
        <w:spacing w:after="0" w:line="240" w:lineRule="auto"/>
        <w:ind w:left="360"/>
      </w:pPr>
      <w:r>
        <w:t xml:space="preserve">Un nouvel organigramme a été adopté par le Conseil des ministres en juin 2022, ce qui a entraîné des changements importants dans la structure du Ministère de la Santé et de l’Hygiène Publique (MSPH). Le Secrétariat technique chargé de l'amélioration de l'alimentation et de la nutrition des </w:t>
      </w:r>
      <w:r>
        <w:lastRenderedPageBreak/>
        <w:t xml:space="preserve">mères et des enfants (STAN) est devenu le Secrétariat technique chargé de la </w:t>
      </w:r>
      <w:proofErr w:type="spellStart"/>
      <w:r>
        <w:t>multisectorialité</w:t>
      </w:r>
      <w:proofErr w:type="spellEnd"/>
      <w:r>
        <w:t xml:space="preserve"> pour la nutrition (ST/NUT). Le ST/NUT assure la mise en œuvre et l'exécution des décisions du </w:t>
      </w:r>
      <w:proofErr w:type="spellStart"/>
      <w:r>
        <w:t>CNaN</w:t>
      </w:r>
      <w:proofErr w:type="spellEnd"/>
      <w:r>
        <w:t xml:space="preserve">, notamment la coordination des actions multisectorielles de lutte contre la malnutrition, l'élaboration de stratégies de mobilisation des ressources en faveur des secteurs pour la mise en œuvre d'interventions sensibles et spécifiques à la nutrition, et l'organisation des réunions statutaires du </w:t>
      </w:r>
      <w:proofErr w:type="spellStart"/>
      <w:r>
        <w:t>CNaN</w:t>
      </w:r>
      <w:proofErr w:type="spellEnd"/>
      <w:r>
        <w:t xml:space="preserve"> et des autres entités multisectorielles pour la nutrition.</w:t>
      </w:r>
    </w:p>
    <w:p w:rsidR="005528DD" w:rsidRDefault="005528DD">
      <w:pPr>
        <w:pBdr>
          <w:top w:val="nil"/>
          <w:left w:val="nil"/>
          <w:bottom w:val="nil"/>
          <w:right w:val="nil"/>
          <w:between w:val="nil"/>
        </w:pBdr>
        <w:spacing w:after="0" w:line="240" w:lineRule="auto"/>
        <w:ind w:left="0"/>
      </w:pPr>
    </w:p>
    <w:p w:rsidR="005528DD" w:rsidRDefault="004B37B1">
      <w:pPr>
        <w:pBdr>
          <w:top w:val="nil"/>
          <w:left w:val="nil"/>
          <w:bottom w:val="nil"/>
          <w:right w:val="nil"/>
          <w:between w:val="nil"/>
        </w:pBdr>
        <w:spacing w:after="0" w:line="240" w:lineRule="auto"/>
        <w:ind w:left="360" w:hanging="360"/>
        <w:rPr>
          <w:b/>
          <w:color w:val="002F6C"/>
        </w:rPr>
      </w:pPr>
      <w:r>
        <w:rPr>
          <w:b/>
          <w:color w:val="002F6C"/>
        </w:rPr>
        <w:t>B.   Objectif</w:t>
      </w:r>
    </w:p>
    <w:p w:rsidR="005528DD" w:rsidRDefault="005528DD">
      <w:pPr>
        <w:pBdr>
          <w:top w:val="nil"/>
          <w:left w:val="nil"/>
          <w:bottom w:val="nil"/>
          <w:right w:val="nil"/>
          <w:between w:val="nil"/>
        </w:pBdr>
        <w:spacing w:after="0" w:line="240" w:lineRule="auto"/>
        <w:ind w:left="0" w:firstLine="720"/>
        <w:rPr>
          <w:color w:val="000000"/>
        </w:rPr>
      </w:pPr>
    </w:p>
    <w:p w:rsidR="005528DD" w:rsidRDefault="004B37B1">
      <w:pPr>
        <w:pBdr>
          <w:top w:val="nil"/>
          <w:left w:val="nil"/>
          <w:bottom w:val="nil"/>
          <w:right w:val="nil"/>
          <w:between w:val="nil"/>
        </w:pBdr>
        <w:spacing w:after="0" w:line="240" w:lineRule="auto"/>
        <w:ind w:left="360"/>
      </w:pPr>
      <w:r>
        <w:t>Il existe de nombreux outils qui ciblent différents éléments de la gouvernance de la nutrition (par exemple, la planification, la coordination, le suivi et l'évaluation), mais il existe peu d'orientations ou de conseils sur la façon d'identifier les aspects de la gouvernance qui doivent être renforcés et dans quel ordre.</w:t>
      </w:r>
    </w:p>
    <w:p w:rsidR="005528DD" w:rsidRDefault="005528DD">
      <w:pPr>
        <w:pBdr>
          <w:top w:val="nil"/>
          <w:left w:val="nil"/>
          <w:bottom w:val="nil"/>
          <w:right w:val="nil"/>
          <w:between w:val="nil"/>
        </w:pBdr>
        <w:spacing w:after="0" w:line="240" w:lineRule="auto"/>
        <w:ind w:left="360"/>
      </w:pPr>
    </w:p>
    <w:p w:rsidR="005528DD" w:rsidRDefault="004B37B1">
      <w:pPr>
        <w:pBdr>
          <w:top w:val="nil"/>
          <w:left w:val="nil"/>
          <w:bottom w:val="nil"/>
          <w:right w:val="nil"/>
          <w:between w:val="nil"/>
        </w:pBdr>
        <w:spacing w:after="0" w:line="240" w:lineRule="auto"/>
        <w:ind w:left="360"/>
      </w:pPr>
      <w:r>
        <w:t xml:space="preserve">USAID </w:t>
      </w:r>
      <w:proofErr w:type="spellStart"/>
      <w:r>
        <w:t>Advancing</w:t>
      </w:r>
      <w:proofErr w:type="spellEnd"/>
      <w:r>
        <w:t xml:space="preserve"> Nutrition est en train de développer un guide de décision qui comprendra un outil d'évaluation rapide.  Il s’agira donc de développer un outil </w:t>
      </w:r>
      <w:r>
        <w:rPr>
          <w:b/>
        </w:rPr>
        <w:t xml:space="preserve">pilote </w:t>
      </w:r>
      <w:r>
        <w:t>d'évaluation rapide sur la gouvernance de la nutrition.  Cet outil permettra d'identifier les points forts et les points faibles des systèmes de gouvernance existants en matière de nutrition afin de faciliter la hiérarchisation des activités de renforcement des capacités et des systèmes.</w:t>
      </w:r>
    </w:p>
    <w:p w:rsidR="005528DD" w:rsidRDefault="005528DD">
      <w:pPr>
        <w:pBdr>
          <w:top w:val="nil"/>
          <w:left w:val="nil"/>
          <w:bottom w:val="nil"/>
          <w:right w:val="nil"/>
          <w:between w:val="nil"/>
        </w:pBdr>
        <w:spacing w:after="0" w:line="240" w:lineRule="auto"/>
        <w:ind w:left="0"/>
      </w:pPr>
    </w:p>
    <w:p w:rsidR="005528DD" w:rsidRDefault="004B37B1">
      <w:pPr>
        <w:pBdr>
          <w:top w:val="nil"/>
          <w:left w:val="nil"/>
          <w:bottom w:val="nil"/>
          <w:right w:val="nil"/>
          <w:between w:val="nil"/>
        </w:pBdr>
        <w:spacing w:after="0" w:line="240" w:lineRule="auto"/>
        <w:ind w:left="360" w:hanging="360"/>
        <w:rPr>
          <w:b/>
          <w:color w:val="002F6C"/>
        </w:rPr>
      </w:pPr>
      <w:r>
        <w:rPr>
          <w:b/>
          <w:color w:val="002F6C"/>
        </w:rPr>
        <w:t>C.   Activités</w:t>
      </w:r>
    </w:p>
    <w:p w:rsidR="005528DD" w:rsidRDefault="005528DD">
      <w:pPr>
        <w:pBdr>
          <w:top w:val="nil"/>
          <w:left w:val="nil"/>
          <w:bottom w:val="nil"/>
          <w:right w:val="nil"/>
          <w:between w:val="nil"/>
        </w:pBdr>
        <w:spacing w:after="0" w:line="240" w:lineRule="auto"/>
        <w:ind w:hanging="288"/>
        <w:rPr>
          <w:color w:val="000000"/>
        </w:rPr>
      </w:pPr>
    </w:p>
    <w:p w:rsidR="005528DD" w:rsidRDefault="004B37B1">
      <w:pPr>
        <w:spacing w:after="0" w:line="240" w:lineRule="auto"/>
        <w:ind w:firstLine="288"/>
      </w:pPr>
      <w:r>
        <w:t xml:space="preserve">Le consultant développera l'outil pilote d'évaluation rapide au Burkina Faso et documentera le processus et les résultats du pilote. Le consultant réalisera les activités suivantes en étroite consultation avec les équipes de l'USAID </w:t>
      </w:r>
      <w:proofErr w:type="spellStart"/>
      <w:r>
        <w:t>Advancing</w:t>
      </w:r>
      <w:proofErr w:type="spellEnd"/>
      <w:r>
        <w:t xml:space="preserve"> Nutrition global et du Burkina Faso :</w:t>
      </w:r>
    </w:p>
    <w:p w:rsidR="005528DD" w:rsidRDefault="005528DD">
      <w:pPr>
        <w:pBdr>
          <w:top w:val="nil"/>
          <w:left w:val="nil"/>
          <w:bottom w:val="nil"/>
          <w:right w:val="nil"/>
          <w:between w:val="nil"/>
        </w:pBdr>
        <w:spacing w:after="0" w:line="240" w:lineRule="auto"/>
        <w:ind w:left="0"/>
        <w:rPr>
          <w:color w:val="000000"/>
        </w:rPr>
      </w:pPr>
    </w:p>
    <w:p w:rsidR="005528DD" w:rsidRDefault="004B37B1">
      <w:pPr>
        <w:numPr>
          <w:ilvl w:val="0"/>
          <w:numId w:val="1"/>
        </w:numPr>
        <w:pBdr>
          <w:top w:val="nil"/>
          <w:left w:val="nil"/>
          <w:bottom w:val="nil"/>
          <w:right w:val="nil"/>
          <w:between w:val="nil"/>
        </w:pBdr>
        <w:spacing w:after="0" w:line="240" w:lineRule="auto"/>
        <w:rPr>
          <w:color w:val="000000"/>
        </w:rPr>
      </w:pPr>
      <w:r>
        <w:rPr>
          <w:color w:val="000000"/>
        </w:rPr>
        <w:t>Effectuer l'évaluation rapide. Cela peut inclure une analyse documentaire des documents politiques et des entretiens avec des informateurs clés. Aucun déplacement en dehors de Ouagadougou n'est prévu.</w:t>
      </w:r>
    </w:p>
    <w:p w:rsidR="005528DD" w:rsidRDefault="004B37B1">
      <w:pPr>
        <w:numPr>
          <w:ilvl w:val="1"/>
          <w:numId w:val="1"/>
        </w:numPr>
        <w:pBdr>
          <w:top w:val="nil"/>
          <w:left w:val="nil"/>
          <w:bottom w:val="nil"/>
          <w:right w:val="nil"/>
          <w:between w:val="nil"/>
        </w:pBdr>
        <w:spacing w:after="0" w:line="240" w:lineRule="auto"/>
        <w:rPr>
          <w:color w:val="000000"/>
        </w:rPr>
      </w:pPr>
      <w:r>
        <w:rPr>
          <w:color w:val="000000"/>
        </w:rPr>
        <w:t>Il pourrait être demandé au consultant de travai</w:t>
      </w:r>
      <w:bookmarkStart w:id="3" w:name="_GoBack"/>
      <w:bookmarkEnd w:id="3"/>
      <w:r>
        <w:rPr>
          <w:color w:val="000000"/>
        </w:rPr>
        <w:t>ller avec des agents recenseurs supplémentaires (par exemple des étudiants) et de les former.</w:t>
      </w:r>
    </w:p>
    <w:p w:rsidR="005528DD" w:rsidRDefault="004B37B1">
      <w:pPr>
        <w:numPr>
          <w:ilvl w:val="0"/>
          <w:numId w:val="1"/>
        </w:numPr>
        <w:pBdr>
          <w:top w:val="nil"/>
          <w:left w:val="nil"/>
          <w:bottom w:val="nil"/>
          <w:right w:val="nil"/>
          <w:between w:val="nil"/>
        </w:pBdr>
        <w:spacing w:after="0" w:line="240" w:lineRule="auto"/>
        <w:rPr>
          <w:color w:val="000000"/>
        </w:rPr>
      </w:pPr>
      <w:r>
        <w:rPr>
          <w:color w:val="000000"/>
        </w:rPr>
        <w:t>Partager les résultats de l'évaluation rapide avec les principales parties prenantes et réaliser une priorisation et une validation des activités de renforcement des capacités et des systèmes en réponse aux résultats de l'évaluation rapide.</w:t>
      </w:r>
    </w:p>
    <w:p w:rsidR="005528DD" w:rsidRDefault="004B37B1">
      <w:pPr>
        <w:numPr>
          <w:ilvl w:val="0"/>
          <w:numId w:val="1"/>
        </w:numPr>
        <w:pBdr>
          <w:top w:val="nil"/>
          <w:left w:val="nil"/>
          <w:bottom w:val="nil"/>
          <w:right w:val="nil"/>
          <w:between w:val="nil"/>
        </w:pBdr>
        <w:spacing w:after="0" w:line="240" w:lineRule="auto"/>
        <w:rPr>
          <w:color w:val="000000"/>
        </w:rPr>
      </w:pPr>
      <w:r>
        <w:rPr>
          <w:color w:val="000000"/>
        </w:rPr>
        <w:t>Contribuer à un rapport sur la gouvernance de la nutrition au Burkina Faso, basé sur les résultats de l'exercice d'évaluation rapide et de priorisation.</w:t>
      </w:r>
    </w:p>
    <w:p w:rsidR="005528DD" w:rsidRDefault="004B37B1">
      <w:pPr>
        <w:numPr>
          <w:ilvl w:val="0"/>
          <w:numId w:val="1"/>
        </w:numPr>
        <w:pBdr>
          <w:top w:val="nil"/>
          <w:left w:val="nil"/>
          <w:bottom w:val="nil"/>
          <w:right w:val="nil"/>
          <w:between w:val="nil"/>
        </w:pBdr>
        <w:spacing w:after="0" w:line="240" w:lineRule="auto"/>
        <w:rPr>
          <w:color w:val="000000"/>
        </w:rPr>
      </w:pPr>
      <w:r>
        <w:rPr>
          <w:color w:val="000000"/>
        </w:rPr>
        <w:t xml:space="preserve">Fournir un retour d'information sur </w:t>
      </w:r>
      <w:r>
        <w:t>l'outil</w:t>
      </w:r>
      <w:r>
        <w:rPr>
          <w:color w:val="000000"/>
        </w:rPr>
        <w:t xml:space="preserve"> pilote d'évaluation rapide, y compris des suggestions sur la façon d'améliorer l'outil.</w:t>
      </w:r>
    </w:p>
    <w:p w:rsidR="005528DD" w:rsidRDefault="005528DD">
      <w:pPr>
        <w:spacing w:after="0" w:line="240" w:lineRule="auto"/>
        <w:ind w:left="0"/>
      </w:pPr>
    </w:p>
    <w:p w:rsidR="005528DD" w:rsidRDefault="004B37B1">
      <w:pPr>
        <w:pBdr>
          <w:top w:val="nil"/>
          <w:left w:val="nil"/>
          <w:bottom w:val="nil"/>
          <w:right w:val="nil"/>
          <w:between w:val="nil"/>
        </w:pBdr>
        <w:spacing w:after="0" w:line="240" w:lineRule="auto"/>
        <w:ind w:hanging="288"/>
        <w:rPr>
          <w:color w:val="000000"/>
        </w:rPr>
      </w:pPr>
      <w:r>
        <w:rPr>
          <w:b/>
          <w:color w:val="002F6C"/>
        </w:rPr>
        <w:t>D.   Produits livrables et calendrier</w:t>
      </w:r>
    </w:p>
    <w:p w:rsidR="005528DD" w:rsidRDefault="005528DD">
      <w:pPr>
        <w:pBdr>
          <w:top w:val="nil"/>
          <w:left w:val="nil"/>
          <w:bottom w:val="nil"/>
          <w:right w:val="nil"/>
          <w:between w:val="nil"/>
        </w:pBdr>
        <w:spacing w:after="0" w:line="240" w:lineRule="auto"/>
        <w:ind w:firstLine="288"/>
        <w:rPr>
          <w:b/>
          <w:i/>
        </w:rPr>
      </w:pPr>
    </w:p>
    <w:p w:rsidR="005528DD" w:rsidRDefault="004B37B1" w:rsidP="00CF7E71">
      <w:pPr>
        <w:pBdr>
          <w:top w:val="nil"/>
          <w:left w:val="nil"/>
          <w:bottom w:val="nil"/>
          <w:right w:val="nil"/>
          <w:between w:val="nil"/>
        </w:pBdr>
        <w:spacing w:after="0" w:line="240" w:lineRule="auto"/>
        <w:rPr>
          <w:b/>
          <w:i/>
        </w:rPr>
      </w:pPr>
      <w:r>
        <w:rPr>
          <w:b/>
          <w:i/>
        </w:rPr>
        <w:t>Le contractant est responsable de la soumission en temps voulu des produits livrables suivants, dans le cadre</w:t>
      </w:r>
      <w:r w:rsidR="00CF7E71">
        <w:rPr>
          <w:b/>
          <w:i/>
        </w:rPr>
        <w:t xml:space="preserve"> des Terme de Références (</w:t>
      </w:r>
      <w:proofErr w:type="spellStart"/>
      <w:r w:rsidR="00CF7E71">
        <w:rPr>
          <w:b/>
          <w:i/>
        </w:rPr>
        <w:t>TdR</w:t>
      </w:r>
      <w:proofErr w:type="spellEnd"/>
      <w:r w:rsidR="00CF7E71">
        <w:rPr>
          <w:b/>
          <w:i/>
        </w:rPr>
        <w:t>)</w:t>
      </w:r>
      <w:r>
        <w:rPr>
          <w:b/>
          <w:i/>
        </w:rPr>
        <w:t>:</w:t>
      </w:r>
    </w:p>
    <w:p w:rsidR="005528DD" w:rsidRDefault="005528DD">
      <w:pPr>
        <w:pBdr>
          <w:top w:val="nil"/>
          <w:left w:val="nil"/>
          <w:bottom w:val="nil"/>
          <w:right w:val="nil"/>
          <w:between w:val="nil"/>
        </w:pBdr>
        <w:spacing w:after="0" w:line="240" w:lineRule="auto"/>
        <w:ind w:left="0"/>
        <w:rPr>
          <w:color w:val="000000"/>
        </w:rPr>
      </w:pPr>
    </w:p>
    <w:tbl>
      <w:tblPr>
        <w:tblStyle w:val="a0"/>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905"/>
        <w:gridCol w:w="3615"/>
        <w:gridCol w:w="2700"/>
      </w:tblGrid>
      <w:tr w:rsidR="00587A50" w:rsidTr="00794091">
        <w:tc>
          <w:tcPr>
            <w:tcW w:w="960" w:type="dxa"/>
            <w:vAlign w:val="center"/>
          </w:tcPr>
          <w:p w:rsidR="00587A50" w:rsidRDefault="00587A50">
            <w:pPr>
              <w:ind w:firstLine="288"/>
              <w:rPr>
                <w:rFonts w:ascii="Calibri" w:eastAsia="Calibri" w:hAnsi="Calibri" w:cs="Calibri"/>
                <w:b/>
                <w:i/>
                <w:sz w:val="22"/>
                <w:szCs w:val="22"/>
              </w:rPr>
            </w:pPr>
            <w:r>
              <w:rPr>
                <w:rFonts w:ascii="Calibri" w:eastAsia="Calibri" w:hAnsi="Calibri" w:cs="Calibri"/>
                <w:b/>
                <w:i/>
                <w:sz w:val="22"/>
                <w:szCs w:val="22"/>
              </w:rPr>
              <w:t>Numéro du Livrable</w:t>
            </w:r>
          </w:p>
        </w:tc>
        <w:tc>
          <w:tcPr>
            <w:tcW w:w="1905" w:type="dxa"/>
            <w:vAlign w:val="center"/>
          </w:tcPr>
          <w:p w:rsidR="00587A50" w:rsidRDefault="00587A50">
            <w:pPr>
              <w:ind w:firstLine="288"/>
              <w:rPr>
                <w:rFonts w:ascii="Calibri" w:eastAsia="Calibri" w:hAnsi="Calibri" w:cs="Calibri"/>
                <w:b/>
                <w:i/>
              </w:rPr>
            </w:pPr>
            <w:r>
              <w:rPr>
                <w:rFonts w:ascii="Calibri" w:eastAsia="Calibri" w:hAnsi="Calibri" w:cs="Calibri"/>
                <w:b/>
                <w:i/>
                <w:sz w:val="22"/>
                <w:szCs w:val="22"/>
              </w:rPr>
              <w:t>Nom du livrable</w:t>
            </w:r>
          </w:p>
        </w:tc>
        <w:tc>
          <w:tcPr>
            <w:tcW w:w="3615" w:type="dxa"/>
            <w:vAlign w:val="center"/>
          </w:tcPr>
          <w:p w:rsidR="00587A50" w:rsidRDefault="00587A50">
            <w:pPr>
              <w:ind w:firstLine="288"/>
              <w:rPr>
                <w:rFonts w:ascii="Calibri" w:eastAsia="Calibri" w:hAnsi="Calibri" w:cs="Calibri"/>
                <w:b/>
                <w:i/>
                <w:sz w:val="22"/>
                <w:szCs w:val="22"/>
              </w:rPr>
            </w:pPr>
            <w:r>
              <w:rPr>
                <w:rFonts w:ascii="Calibri" w:eastAsia="Calibri" w:hAnsi="Calibri" w:cs="Calibri"/>
                <w:b/>
                <w:i/>
                <w:sz w:val="22"/>
                <w:szCs w:val="22"/>
              </w:rPr>
              <w:t>Description du livrable</w:t>
            </w:r>
          </w:p>
        </w:tc>
        <w:tc>
          <w:tcPr>
            <w:tcW w:w="2700" w:type="dxa"/>
            <w:vAlign w:val="center"/>
          </w:tcPr>
          <w:p w:rsidR="00587A50" w:rsidRDefault="00587A50">
            <w:pPr>
              <w:ind w:firstLine="288"/>
              <w:rPr>
                <w:rFonts w:ascii="Calibri" w:eastAsia="Calibri" w:hAnsi="Calibri" w:cs="Calibri"/>
                <w:b/>
                <w:i/>
                <w:sz w:val="22"/>
                <w:szCs w:val="22"/>
              </w:rPr>
            </w:pPr>
            <w:r>
              <w:rPr>
                <w:rFonts w:ascii="Calibri" w:eastAsia="Calibri" w:hAnsi="Calibri" w:cs="Calibri"/>
                <w:b/>
                <w:i/>
                <w:sz w:val="22"/>
                <w:szCs w:val="22"/>
              </w:rPr>
              <w:t>Date d'échéance</w:t>
            </w:r>
          </w:p>
        </w:tc>
      </w:tr>
      <w:tr w:rsidR="00587A50" w:rsidTr="00794091">
        <w:tc>
          <w:tcPr>
            <w:tcW w:w="960" w:type="dxa"/>
          </w:tcPr>
          <w:p w:rsidR="00587A50" w:rsidRDefault="00587A50" w:rsidP="00CF7E71">
            <w:pPr>
              <w:pBdr>
                <w:top w:val="nil"/>
                <w:left w:val="nil"/>
                <w:bottom w:val="nil"/>
                <w:right w:val="nil"/>
                <w:between w:val="nil"/>
              </w:pBdr>
              <w:ind w:firstLine="288"/>
              <w:jc w:val="center"/>
              <w:rPr>
                <w:rFonts w:ascii="Calibri" w:eastAsia="Calibri" w:hAnsi="Calibri" w:cs="Calibri"/>
              </w:rPr>
            </w:pPr>
            <w:r>
              <w:rPr>
                <w:rFonts w:ascii="Calibri" w:eastAsia="Calibri" w:hAnsi="Calibri" w:cs="Calibri"/>
              </w:rPr>
              <w:lastRenderedPageBreak/>
              <w:t>1</w:t>
            </w:r>
          </w:p>
        </w:tc>
        <w:tc>
          <w:tcPr>
            <w:tcW w:w="1905" w:type="dxa"/>
          </w:tcPr>
          <w:p w:rsidR="00587A50" w:rsidRDefault="00587A50">
            <w:pPr>
              <w:pBdr>
                <w:top w:val="nil"/>
                <w:left w:val="nil"/>
                <w:bottom w:val="nil"/>
                <w:right w:val="nil"/>
                <w:between w:val="nil"/>
              </w:pBdr>
              <w:rPr>
                <w:rFonts w:ascii="Calibri" w:eastAsia="Calibri" w:hAnsi="Calibri" w:cs="Calibri"/>
              </w:rPr>
            </w:pPr>
            <w:r>
              <w:rPr>
                <w:rFonts w:ascii="Calibri" w:eastAsia="Calibri" w:hAnsi="Calibri" w:cs="Calibri"/>
              </w:rPr>
              <w:t>Données d'évaluation rapide</w:t>
            </w:r>
          </w:p>
        </w:tc>
        <w:tc>
          <w:tcPr>
            <w:tcW w:w="3615" w:type="dxa"/>
          </w:tcPr>
          <w:p w:rsidR="00587A50" w:rsidRDefault="00587A50">
            <w:pPr>
              <w:pBdr>
                <w:top w:val="nil"/>
                <w:left w:val="nil"/>
                <w:bottom w:val="nil"/>
                <w:right w:val="nil"/>
                <w:between w:val="nil"/>
              </w:pBdr>
              <w:rPr>
                <w:rFonts w:ascii="Calibri" w:eastAsia="Calibri" w:hAnsi="Calibri" w:cs="Calibri"/>
              </w:rPr>
            </w:pPr>
            <w:r>
              <w:rPr>
                <w:rFonts w:ascii="Calibri" w:eastAsia="Calibri" w:hAnsi="Calibri" w:cs="Calibri"/>
              </w:rPr>
              <w:t>Le consultant effectuera l'évaluation rapide et téléchargera toutes les données dans un dossier Google Drive partagé.</w:t>
            </w:r>
          </w:p>
        </w:tc>
        <w:tc>
          <w:tcPr>
            <w:tcW w:w="2700" w:type="dxa"/>
          </w:tcPr>
          <w:p w:rsidR="00587A50" w:rsidRDefault="00587A50">
            <w:pPr>
              <w:pBdr>
                <w:top w:val="nil"/>
                <w:left w:val="nil"/>
                <w:bottom w:val="nil"/>
                <w:right w:val="nil"/>
                <w:between w:val="nil"/>
              </w:pBdr>
              <w:rPr>
                <w:rFonts w:ascii="Calibri" w:eastAsia="Calibri" w:hAnsi="Calibri" w:cs="Calibri"/>
              </w:rPr>
            </w:pPr>
            <w:r>
              <w:rPr>
                <w:rFonts w:ascii="Calibri" w:eastAsia="Calibri" w:hAnsi="Calibri" w:cs="Calibri"/>
              </w:rPr>
              <w:t>le ou vers le 28 février 2023</w:t>
            </w:r>
          </w:p>
        </w:tc>
      </w:tr>
      <w:tr w:rsidR="00587A50" w:rsidTr="00794091">
        <w:tc>
          <w:tcPr>
            <w:tcW w:w="960" w:type="dxa"/>
          </w:tcPr>
          <w:p w:rsidR="00587A50" w:rsidRDefault="00587A50" w:rsidP="00CF7E71">
            <w:pPr>
              <w:pBdr>
                <w:top w:val="nil"/>
                <w:left w:val="nil"/>
                <w:bottom w:val="nil"/>
                <w:right w:val="nil"/>
                <w:between w:val="nil"/>
              </w:pBdr>
              <w:ind w:firstLine="288"/>
              <w:jc w:val="center"/>
              <w:rPr>
                <w:rFonts w:ascii="Calibri" w:eastAsia="Calibri" w:hAnsi="Calibri" w:cs="Calibri"/>
              </w:rPr>
            </w:pPr>
            <w:r>
              <w:rPr>
                <w:rFonts w:ascii="Calibri" w:eastAsia="Calibri" w:hAnsi="Calibri" w:cs="Calibri"/>
              </w:rPr>
              <w:t>2</w:t>
            </w:r>
          </w:p>
        </w:tc>
        <w:tc>
          <w:tcPr>
            <w:tcW w:w="1905" w:type="dxa"/>
          </w:tcPr>
          <w:p w:rsidR="00587A50" w:rsidRDefault="00587A50">
            <w:pPr>
              <w:pBdr>
                <w:top w:val="nil"/>
                <w:left w:val="nil"/>
                <w:bottom w:val="nil"/>
                <w:right w:val="nil"/>
                <w:between w:val="nil"/>
              </w:pBdr>
              <w:rPr>
                <w:rFonts w:ascii="Calibri" w:eastAsia="Calibri" w:hAnsi="Calibri" w:cs="Calibri"/>
              </w:rPr>
            </w:pPr>
            <w:r>
              <w:rPr>
                <w:rFonts w:ascii="Calibri" w:eastAsia="Calibri" w:hAnsi="Calibri" w:cs="Calibri"/>
              </w:rPr>
              <w:t>Liste prioritaire des activités de la gouvernance de la nutrition</w:t>
            </w:r>
          </w:p>
        </w:tc>
        <w:tc>
          <w:tcPr>
            <w:tcW w:w="3615" w:type="dxa"/>
          </w:tcPr>
          <w:p w:rsidR="00587A50" w:rsidRDefault="00587A50">
            <w:pPr>
              <w:pBdr>
                <w:top w:val="nil"/>
                <w:left w:val="nil"/>
                <w:bottom w:val="nil"/>
                <w:right w:val="nil"/>
                <w:between w:val="nil"/>
              </w:pBdr>
              <w:rPr>
                <w:rFonts w:ascii="Calibri" w:eastAsia="Calibri" w:hAnsi="Calibri" w:cs="Calibri"/>
              </w:rPr>
            </w:pPr>
            <w:r>
              <w:rPr>
                <w:rFonts w:ascii="Calibri" w:eastAsia="Calibri" w:hAnsi="Calibri" w:cs="Calibri"/>
              </w:rPr>
              <w:t xml:space="preserve">Le consultant travaillera avec l'équipe de l'USAID </w:t>
            </w:r>
            <w:proofErr w:type="spellStart"/>
            <w:r>
              <w:rPr>
                <w:rFonts w:ascii="Calibri" w:eastAsia="Calibri" w:hAnsi="Calibri" w:cs="Calibri"/>
              </w:rPr>
              <w:t>Advancing</w:t>
            </w:r>
            <w:proofErr w:type="spellEnd"/>
            <w:r>
              <w:rPr>
                <w:rFonts w:ascii="Calibri" w:eastAsia="Calibri" w:hAnsi="Calibri" w:cs="Calibri"/>
              </w:rPr>
              <w:t xml:space="preserve"> Nutrition Burkina Faso pour partager, prioriser et valider les résultats de l'évaluation rapide avec les principales parties prenantes.</w:t>
            </w:r>
          </w:p>
        </w:tc>
        <w:tc>
          <w:tcPr>
            <w:tcW w:w="2700" w:type="dxa"/>
          </w:tcPr>
          <w:p w:rsidR="00587A50" w:rsidRDefault="00587A50">
            <w:pPr>
              <w:pBdr>
                <w:top w:val="nil"/>
                <w:left w:val="nil"/>
                <w:bottom w:val="nil"/>
                <w:right w:val="nil"/>
                <w:between w:val="nil"/>
              </w:pBdr>
              <w:rPr>
                <w:rFonts w:ascii="Calibri" w:eastAsia="Calibri" w:hAnsi="Calibri" w:cs="Calibri"/>
              </w:rPr>
            </w:pPr>
            <w:r>
              <w:rPr>
                <w:rFonts w:ascii="Calibri" w:eastAsia="Calibri" w:hAnsi="Calibri" w:cs="Calibri"/>
              </w:rPr>
              <w:t>le ou vers le 31 mars 2023</w:t>
            </w:r>
          </w:p>
        </w:tc>
      </w:tr>
      <w:tr w:rsidR="00587A50" w:rsidTr="00794091">
        <w:tc>
          <w:tcPr>
            <w:tcW w:w="960" w:type="dxa"/>
          </w:tcPr>
          <w:p w:rsidR="00587A50" w:rsidRDefault="00587A50" w:rsidP="00CF7E71">
            <w:pPr>
              <w:pBdr>
                <w:top w:val="nil"/>
                <w:left w:val="nil"/>
                <w:bottom w:val="nil"/>
                <w:right w:val="nil"/>
                <w:between w:val="nil"/>
              </w:pBdr>
              <w:ind w:firstLine="288"/>
              <w:jc w:val="center"/>
              <w:rPr>
                <w:rFonts w:ascii="Calibri" w:eastAsia="Calibri" w:hAnsi="Calibri" w:cs="Calibri"/>
              </w:rPr>
            </w:pPr>
            <w:r>
              <w:rPr>
                <w:rFonts w:ascii="Calibri" w:eastAsia="Calibri" w:hAnsi="Calibri" w:cs="Calibri"/>
              </w:rPr>
              <w:t>3</w:t>
            </w:r>
          </w:p>
        </w:tc>
        <w:tc>
          <w:tcPr>
            <w:tcW w:w="1905" w:type="dxa"/>
          </w:tcPr>
          <w:p w:rsidR="00587A50" w:rsidRDefault="00587A50">
            <w:pPr>
              <w:pBdr>
                <w:top w:val="nil"/>
                <w:left w:val="nil"/>
                <w:bottom w:val="nil"/>
                <w:right w:val="nil"/>
                <w:between w:val="nil"/>
              </w:pBdr>
              <w:rPr>
                <w:rFonts w:ascii="Calibri" w:eastAsia="Calibri" w:hAnsi="Calibri" w:cs="Calibri"/>
              </w:rPr>
            </w:pPr>
            <w:r>
              <w:rPr>
                <w:rFonts w:ascii="Calibri" w:eastAsia="Calibri" w:hAnsi="Calibri" w:cs="Calibri"/>
              </w:rPr>
              <w:t>Commentaires écrits sur le projet pilote d'évaluation rapide.</w:t>
            </w:r>
          </w:p>
        </w:tc>
        <w:tc>
          <w:tcPr>
            <w:tcW w:w="3615" w:type="dxa"/>
          </w:tcPr>
          <w:p w:rsidR="00587A50" w:rsidRDefault="00587A50">
            <w:pPr>
              <w:pBdr>
                <w:top w:val="nil"/>
                <w:left w:val="nil"/>
                <w:bottom w:val="nil"/>
                <w:right w:val="nil"/>
                <w:between w:val="nil"/>
              </w:pBdr>
              <w:rPr>
                <w:rFonts w:ascii="Calibri" w:eastAsia="Calibri" w:hAnsi="Calibri" w:cs="Calibri"/>
              </w:rPr>
            </w:pPr>
            <w:r>
              <w:rPr>
                <w:rFonts w:ascii="Calibri" w:eastAsia="Calibri" w:hAnsi="Calibri" w:cs="Calibri"/>
              </w:rPr>
              <w:t xml:space="preserve">Le consultant partagera le retour d'information sur l'outil pilote  d'évaluation rapide avec l'équipe mondiale de l'USAID </w:t>
            </w:r>
            <w:proofErr w:type="spellStart"/>
            <w:r>
              <w:rPr>
                <w:rFonts w:ascii="Calibri" w:eastAsia="Calibri" w:hAnsi="Calibri" w:cs="Calibri"/>
              </w:rPr>
              <w:t>Advancing</w:t>
            </w:r>
            <w:proofErr w:type="spellEnd"/>
            <w:r>
              <w:rPr>
                <w:rFonts w:ascii="Calibri" w:eastAsia="Calibri" w:hAnsi="Calibri" w:cs="Calibri"/>
              </w:rPr>
              <w:t xml:space="preserve"> Nutrition afin d'affiner l'outil.</w:t>
            </w:r>
          </w:p>
        </w:tc>
        <w:tc>
          <w:tcPr>
            <w:tcW w:w="2700" w:type="dxa"/>
          </w:tcPr>
          <w:p w:rsidR="00587A50" w:rsidRDefault="00587A50">
            <w:pPr>
              <w:pBdr>
                <w:top w:val="nil"/>
                <w:left w:val="nil"/>
                <w:bottom w:val="nil"/>
                <w:right w:val="nil"/>
                <w:between w:val="nil"/>
              </w:pBdr>
              <w:rPr>
                <w:rFonts w:ascii="Calibri" w:eastAsia="Calibri" w:hAnsi="Calibri" w:cs="Calibri"/>
              </w:rPr>
            </w:pPr>
            <w:r>
              <w:rPr>
                <w:rFonts w:ascii="Calibri" w:eastAsia="Calibri" w:hAnsi="Calibri" w:cs="Calibri"/>
              </w:rPr>
              <w:t>le ou vers le 31 mars 2023</w:t>
            </w:r>
          </w:p>
        </w:tc>
      </w:tr>
      <w:tr w:rsidR="00587A50" w:rsidTr="00794091">
        <w:tc>
          <w:tcPr>
            <w:tcW w:w="960" w:type="dxa"/>
          </w:tcPr>
          <w:p w:rsidR="00587A50" w:rsidRDefault="00587A50" w:rsidP="00CF7E71">
            <w:pPr>
              <w:pBdr>
                <w:top w:val="nil"/>
                <w:left w:val="nil"/>
                <w:bottom w:val="nil"/>
                <w:right w:val="nil"/>
                <w:between w:val="nil"/>
              </w:pBdr>
              <w:ind w:firstLine="288"/>
              <w:jc w:val="center"/>
              <w:rPr>
                <w:rFonts w:ascii="Calibri" w:eastAsia="Calibri" w:hAnsi="Calibri" w:cs="Calibri"/>
              </w:rPr>
            </w:pPr>
            <w:r>
              <w:rPr>
                <w:rFonts w:ascii="Calibri" w:eastAsia="Calibri" w:hAnsi="Calibri" w:cs="Calibri"/>
              </w:rPr>
              <w:t>4</w:t>
            </w:r>
          </w:p>
        </w:tc>
        <w:tc>
          <w:tcPr>
            <w:tcW w:w="1905" w:type="dxa"/>
          </w:tcPr>
          <w:p w:rsidR="00587A50" w:rsidRDefault="00587A50">
            <w:pPr>
              <w:pBdr>
                <w:top w:val="nil"/>
                <w:left w:val="nil"/>
                <w:bottom w:val="nil"/>
                <w:right w:val="nil"/>
                <w:between w:val="nil"/>
              </w:pBdr>
              <w:rPr>
                <w:rFonts w:ascii="Calibri" w:eastAsia="Calibri" w:hAnsi="Calibri" w:cs="Calibri"/>
              </w:rPr>
            </w:pPr>
            <w:r>
              <w:rPr>
                <w:rFonts w:ascii="Calibri" w:eastAsia="Calibri" w:hAnsi="Calibri" w:cs="Calibri"/>
              </w:rPr>
              <w:t>Contributions écrites au rapport sur la gouvernance de la nutrition au Burkina Faso.</w:t>
            </w:r>
          </w:p>
        </w:tc>
        <w:tc>
          <w:tcPr>
            <w:tcW w:w="3615" w:type="dxa"/>
          </w:tcPr>
          <w:p w:rsidR="00587A50" w:rsidRDefault="00587A50">
            <w:pPr>
              <w:pBdr>
                <w:top w:val="nil"/>
                <w:left w:val="nil"/>
                <w:bottom w:val="nil"/>
                <w:right w:val="nil"/>
                <w:between w:val="nil"/>
              </w:pBdr>
              <w:rPr>
                <w:rFonts w:ascii="Calibri" w:eastAsia="Calibri" w:hAnsi="Calibri" w:cs="Calibri"/>
              </w:rPr>
            </w:pPr>
            <w:r>
              <w:rPr>
                <w:rFonts w:ascii="Calibri" w:eastAsia="Calibri" w:hAnsi="Calibri" w:cs="Calibri"/>
              </w:rPr>
              <w:t xml:space="preserve">Le consultant travaillera avec l'équipe de USAID </w:t>
            </w:r>
            <w:proofErr w:type="spellStart"/>
            <w:r>
              <w:rPr>
                <w:rFonts w:ascii="Calibri" w:eastAsia="Calibri" w:hAnsi="Calibri" w:cs="Calibri"/>
              </w:rPr>
              <w:t>Advancing</w:t>
            </w:r>
            <w:proofErr w:type="spellEnd"/>
            <w:r>
              <w:rPr>
                <w:rFonts w:ascii="Calibri" w:eastAsia="Calibri" w:hAnsi="Calibri" w:cs="Calibri"/>
              </w:rPr>
              <w:t xml:space="preserve"> Nutrition pour rédiger et réviser un rapport sur la gouvernance de la nutrition au Burkina Faso. Le rapport comprendra une vue d'ensemble des systèmes et des structures, les résultats de l'évaluation rapide, et une liste de recommandations prioritaires pour le renforcement des capacités et des systèmes.</w:t>
            </w:r>
          </w:p>
        </w:tc>
        <w:tc>
          <w:tcPr>
            <w:tcW w:w="2700" w:type="dxa"/>
          </w:tcPr>
          <w:p w:rsidR="00587A50" w:rsidRDefault="00587A50">
            <w:pPr>
              <w:pBdr>
                <w:top w:val="nil"/>
                <w:left w:val="nil"/>
                <w:bottom w:val="nil"/>
                <w:right w:val="nil"/>
                <w:between w:val="nil"/>
              </w:pBdr>
              <w:rPr>
                <w:rFonts w:ascii="Calibri" w:eastAsia="Calibri" w:hAnsi="Calibri" w:cs="Calibri"/>
              </w:rPr>
            </w:pPr>
            <w:r>
              <w:rPr>
                <w:rFonts w:ascii="Calibri" w:eastAsia="Calibri" w:hAnsi="Calibri" w:cs="Calibri"/>
              </w:rPr>
              <w:t>le ou vers le 30 avril 2023</w:t>
            </w:r>
          </w:p>
        </w:tc>
      </w:tr>
      <w:tr w:rsidR="00587A50" w:rsidTr="00794091">
        <w:tc>
          <w:tcPr>
            <w:tcW w:w="960" w:type="dxa"/>
          </w:tcPr>
          <w:p w:rsidR="00587A50" w:rsidRDefault="00587A50" w:rsidP="00CF7E71">
            <w:pPr>
              <w:pBdr>
                <w:top w:val="nil"/>
                <w:left w:val="nil"/>
                <w:bottom w:val="nil"/>
                <w:right w:val="nil"/>
                <w:between w:val="nil"/>
              </w:pBdr>
              <w:jc w:val="center"/>
              <w:rPr>
                <w:rFonts w:ascii="Calibri" w:eastAsia="Calibri" w:hAnsi="Calibri" w:cs="Calibri"/>
              </w:rPr>
            </w:pPr>
            <w:r>
              <w:rPr>
                <w:rFonts w:ascii="Calibri" w:eastAsia="Calibri" w:hAnsi="Calibri" w:cs="Calibri"/>
              </w:rPr>
              <w:t>5</w:t>
            </w:r>
          </w:p>
        </w:tc>
        <w:tc>
          <w:tcPr>
            <w:tcW w:w="1905" w:type="dxa"/>
          </w:tcPr>
          <w:p w:rsidR="00587A50" w:rsidRDefault="00587A50">
            <w:pPr>
              <w:pBdr>
                <w:top w:val="nil"/>
                <w:left w:val="nil"/>
                <w:bottom w:val="nil"/>
                <w:right w:val="nil"/>
                <w:between w:val="nil"/>
              </w:pBdr>
              <w:rPr>
                <w:rFonts w:ascii="Calibri" w:eastAsia="Calibri" w:hAnsi="Calibri" w:cs="Calibri"/>
              </w:rPr>
            </w:pPr>
            <w:r>
              <w:rPr>
                <w:rFonts w:ascii="Calibri" w:eastAsia="Calibri" w:hAnsi="Calibri" w:cs="Calibri"/>
              </w:rPr>
              <w:t>Présentation des résultats et résumé écrit des commentaires des parties prenantes.</w:t>
            </w:r>
          </w:p>
        </w:tc>
        <w:tc>
          <w:tcPr>
            <w:tcW w:w="3615" w:type="dxa"/>
          </w:tcPr>
          <w:p w:rsidR="00587A50" w:rsidRDefault="00587A50">
            <w:pPr>
              <w:rPr>
                <w:rFonts w:ascii="Calibri" w:eastAsia="Calibri" w:hAnsi="Calibri" w:cs="Calibri"/>
              </w:rPr>
            </w:pPr>
            <w:r>
              <w:rPr>
                <w:rFonts w:ascii="Calibri" w:eastAsia="Calibri" w:hAnsi="Calibri" w:cs="Calibri"/>
              </w:rPr>
              <w:t>Le consultant présentera les conclusions du rapport aux parties prenantes nationales afin de collecter leur input.</w:t>
            </w:r>
          </w:p>
        </w:tc>
        <w:tc>
          <w:tcPr>
            <w:tcW w:w="2700" w:type="dxa"/>
          </w:tcPr>
          <w:p w:rsidR="00587A50" w:rsidRDefault="00587A50">
            <w:pPr>
              <w:rPr>
                <w:rFonts w:ascii="Calibri" w:eastAsia="Calibri" w:hAnsi="Calibri" w:cs="Calibri"/>
              </w:rPr>
            </w:pPr>
            <w:r>
              <w:rPr>
                <w:rFonts w:ascii="Calibri" w:eastAsia="Calibri" w:hAnsi="Calibri" w:cs="Calibri"/>
              </w:rPr>
              <w:t>le ou vers le 31 mai 2023</w:t>
            </w:r>
          </w:p>
        </w:tc>
      </w:tr>
      <w:tr w:rsidR="00587A50" w:rsidTr="00794091">
        <w:tc>
          <w:tcPr>
            <w:tcW w:w="960" w:type="dxa"/>
          </w:tcPr>
          <w:p w:rsidR="00587A50" w:rsidRDefault="00587A50" w:rsidP="00CF7E71">
            <w:pPr>
              <w:pBdr>
                <w:top w:val="nil"/>
                <w:left w:val="nil"/>
                <w:bottom w:val="nil"/>
                <w:right w:val="nil"/>
                <w:between w:val="nil"/>
              </w:pBdr>
              <w:jc w:val="center"/>
              <w:rPr>
                <w:rFonts w:ascii="Calibri" w:eastAsia="Calibri" w:hAnsi="Calibri" w:cs="Calibri"/>
              </w:rPr>
            </w:pPr>
            <w:r>
              <w:rPr>
                <w:rFonts w:ascii="Calibri" w:eastAsia="Calibri" w:hAnsi="Calibri" w:cs="Calibri"/>
              </w:rPr>
              <w:t>6</w:t>
            </w:r>
          </w:p>
        </w:tc>
        <w:tc>
          <w:tcPr>
            <w:tcW w:w="1905" w:type="dxa"/>
          </w:tcPr>
          <w:p w:rsidR="00587A50" w:rsidRDefault="00587A50">
            <w:pPr>
              <w:pBdr>
                <w:top w:val="nil"/>
                <w:left w:val="nil"/>
                <w:bottom w:val="nil"/>
                <w:right w:val="nil"/>
                <w:between w:val="nil"/>
              </w:pBdr>
              <w:rPr>
                <w:rFonts w:ascii="Calibri" w:eastAsia="Calibri" w:hAnsi="Calibri" w:cs="Calibri"/>
              </w:rPr>
            </w:pPr>
            <w:r>
              <w:rPr>
                <w:rFonts w:ascii="Calibri" w:eastAsia="Calibri" w:hAnsi="Calibri" w:cs="Calibri"/>
              </w:rPr>
              <w:t>Contributions aux révisions du rapport, sur la base des commentaires de l'USAID.</w:t>
            </w:r>
          </w:p>
        </w:tc>
        <w:tc>
          <w:tcPr>
            <w:tcW w:w="3615" w:type="dxa"/>
          </w:tcPr>
          <w:p w:rsidR="00587A50" w:rsidRDefault="00587A50">
            <w:pPr>
              <w:pBdr>
                <w:top w:val="nil"/>
                <w:left w:val="nil"/>
                <w:bottom w:val="nil"/>
                <w:right w:val="nil"/>
                <w:between w:val="nil"/>
              </w:pBdr>
              <w:rPr>
                <w:rFonts w:ascii="Calibri" w:eastAsia="Calibri" w:hAnsi="Calibri" w:cs="Calibri"/>
              </w:rPr>
            </w:pPr>
            <w:r>
              <w:rPr>
                <w:rFonts w:ascii="Calibri" w:eastAsia="Calibri" w:hAnsi="Calibri" w:cs="Calibri"/>
              </w:rPr>
              <w:t>Le consultant soutiendra la révision du rapport, y compris toute collecte d'informations supplémentaires nécessaires pour répondre aux commentaires de l'USAID.</w:t>
            </w:r>
          </w:p>
        </w:tc>
        <w:tc>
          <w:tcPr>
            <w:tcW w:w="2700" w:type="dxa"/>
          </w:tcPr>
          <w:p w:rsidR="00587A50" w:rsidRDefault="00587A50">
            <w:pPr>
              <w:pBdr>
                <w:top w:val="nil"/>
                <w:left w:val="nil"/>
                <w:bottom w:val="nil"/>
                <w:right w:val="nil"/>
                <w:between w:val="nil"/>
              </w:pBdr>
              <w:rPr>
                <w:rFonts w:ascii="Calibri" w:eastAsia="Calibri" w:hAnsi="Calibri" w:cs="Calibri"/>
              </w:rPr>
            </w:pPr>
            <w:r>
              <w:rPr>
                <w:rFonts w:ascii="Calibri" w:eastAsia="Calibri" w:hAnsi="Calibri" w:cs="Calibri"/>
              </w:rPr>
              <w:t>le ou vers le 31 mai 2023</w:t>
            </w:r>
          </w:p>
        </w:tc>
      </w:tr>
    </w:tbl>
    <w:p w:rsidR="005528DD" w:rsidRDefault="005528DD">
      <w:pPr>
        <w:spacing w:after="0" w:line="240" w:lineRule="auto"/>
        <w:ind w:left="360"/>
      </w:pPr>
    </w:p>
    <w:p w:rsidR="005528DD" w:rsidRDefault="004B37B1">
      <w:pPr>
        <w:spacing w:after="0" w:line="240" w:lineRule="auto"/>
        <w:ind w:left="360"/>
      </w:pPr>
      <w:r>
        <w:t xml:space="preserve">Le niveau d'effort total est approximativement équivalent à </w:t>
      </w:r>
      <w:r>
        <w:rPr>
          <w:b/>
        </w:rPr>
        <w:t>40 jours</w:t>
      </w:r>
      <w:r>
        <w:t>.</w:t>
      </w:r>
    </w:p>
    <w:p w:rsidR="005528DD" w:rsidRDefault="005528DD">
      <w:pPr>
        <w:spacing w:after="0" w:line="240" w:lineRule="auto"/>
        <w:ind w:left="360"/>
      </w:pPr>
    </w:p>
    <w:p w:rsidR="005528DD" w:rsidRDefault="004B37B1">
      <w:pPr>
        <w:spacing w:after="0" w:line="240" w:lineRule="auto"/>
        <w:ind w:left="360"/>
      </w:pPr>
      <w:r>
        <w:t xml:space="preserve">Tous les produits livrables et les rapports requis doivent être soumis au responsable d'activité de JSI dont le nom figure à la page 1. </w:t>
      </w:r>
    </w:p>
    <w:p w:rsidR="005528DD" w:rsidRDefault="005528DD">
      <w:pPr>
        <w:pBdr>
          <w:top w:val="nil"/>
          <w:left w:val="nil"/>
          <w:bottom w:val="nil"/>
          <w:right w:val="nil"/>
          <w:between w:val="nil"/>
        </w:pBdr>
        <w:spacing w:after="0" w:line="240" w:lineRule="auto"/>
        <w:ind w:hanging="288"/>
        <w:rPr>
          <w:b/>
          <w:color w:val="002F6C"/>
        </w:rPr>
      </w:pPr>
    </w:p>
    <w:p w:rsidR="005528DD" w:rsidRDefault="004B37B1">
      <w:pPr>
        <w:pBdr>
          <w:top w:val="nil"/>
          <w:left w:val="nil"/>
          <w:bottom w:val="nil"/>
          <w:right w:val="nil"/>
          <w:between w:val="nil"/>
        </w:pBdr>
        <w:spacing w:after="0" w:line="240" w:lineRule="auto"/>
        <w:ind w:hanging="288"/>
        <w:rPr>
          <w:b/>
          <w:color w:val="002F6C"/>
        </w:rPr>
      </w:pPr>
      <w:r>
        <w:rPr>
          <w:b/>
          <w:color w:val="002F6C"/>
        </w:rPr>
        <w:t>E.   Qualifications des consultants</w:t>
      </w:r>
    </w:p>
    <w:p w:rsidR="005528DD" w:rsidRDefault="005528DD">
      <w:pPr>
        <w:pBdr>
          <w:top w:val="nil"/>
          <w:left w:val="nil"/>
          <w:bottom w:val="nil"/>
          <w:right w:val="nil"/>
          <w:between w:val="nil"/>
        </w:pBdr>
        <w:spacing w:after="0" w:line="240" w:lineRule="auto"/>
        <w:ind w:left="0"/>
        <w:jc w:val="both"/>
      </w:pPr>
    </w:p>
    <w:p w:rsidR="005528DD" w:rsidRDefault="004B37B1">
      <w:pPr>
        <w:numPr>
          <w:ilvl w:val="0"/>
          <w:numId w:val="2"/>
        </w:numPr>
        <w:pBdr>
          <w:top w:val="nil"/>
          <w:left w:val="nil"/>
          <w:bottom w:val="nil"/>
          <w:right w:val="nil"/>
          <w:between w:val="nil"/>
        </w:pBdr>
        <w:spacing w:after="0" w:line="240" w:lineRule="auto"/>
      </w:pPr>
      <w:r>
        <w:t>Maîtrise en santé publique, en nutrition, en politique publique ou dans un domaine associé.</w:t>
      </w:r>
    </w:p>
    <w:p w:rsidR="005528DD" w:rsidRDefault="004B37B1">
      <w:pPr>
        <w:numPr>
          <w:ilvl w:val="0"/>
          <w:numId w:val="2"/>
        </w:numPr>
        <w:pBdr>
          <w:top w:val="nil"/>
          <w:left w:val="nil"/>
          <w:bottom w:val="nil"/>
          <w:right w:val="nil"/>
          <w:between w:val="nil"/>
        </w:pBdr>
        <w:spacing w:after="0" w:line="240" w:lineRule="auto"/>
      </w:pPr>
      <w:r>
        <w:t>Au moins 8 ans d'expérience dans le domaine de la nutrition, notamment au niveau des politiques et de la coordination.</w:t>
      </w:r>
    </w:p>
    <w:p w:rsidR="005528DD" w:rsidRDefault="004B37B1">
      <w:pPr>
        <w:numPr>
          <w:ilvl w:val="0"/>
          <w:numId w:val="2"/>
        </w:numPr>
        <w:pBdr>
          <w:top w:val="nil"/>
          <w:left w:val="nil"/>
          <w:bottom w:val="nil"/>
          <w:right w:val="nil"/>
          <w:between w:val="nil"/>
        </w:pBdr>
        <w:spacing w:after="0" w:line="240" w:lineRule="auto"/>
      </w:pPr>
      <w:r>
        <w:t>Capacité à établir et à maintenir des partenariats qui favorisent la confiance.</w:t>
      </w:r>
    </w:p>
    <w:p w:rsidR="005528DD" w:rsidRDefault="004B37B1">
      <w:pPr>
        <w:numPr>
          <w:ilvl w:val="0"/>
          <w:numId w:val="2"/>
        </w:numPr>
        <w:pBdr>
          <w:top w:val="nil"/>
          <w:left w:val="nil"/>
          <w:bottom w:val="nil"/>
          <w:right w:val="nil"/>
          <w:between w:val="nil"/>
        </w:pBdr>
        <w:spacing w:after="0" w:line="240" w:lineRule="auto"/>
      </w:pPr>
      <w:r>
        <w:t>Capacité à élaborer et à soumettre des produits livrables de haute qualité dans les délais impartis.</w:t>
      </w:r>
    </w:p>
    <w:p w:rsidR="005528DD" w:rsidRDefault="004B37B1">
      <w:pPr>
        <w:numPr>
          <w:ilvl w:val="0"/>
          <w:numId w:val="2"/>
        </w:numPr>
        <w:pBdr>
          <w:top w:val="nil"/>
          <w:left w:val="nil"/>
          <w:bottom w:val="nil"/>
          <w:right w:val="nil"/>
          <w:between w:val="nil"/>
        </w:pBdr>
        <w:spacing w:after="0" w:line="240" w:lineRule="auto"/>
      </w:pPr>
      <w:r>
        <w:t>Capacité à travailler en collaboration et en tenant compte des différences culturelles.</w:t>
      </w:r>
    </w:p>
    <w:p w:rsidR="005528DD" w:rsidRDefault="004B37B1">
      <w:pPr>
        <w:numPr>
          <w:ilvl w:val="0"/>
          <w:numId w:val="2"/>
        </w:numPr>
        <w:pBdr>
          <w:top w:val="nil"/>
          <w:left w:val="nil"/>
          <w:bottom w:val="nil"/>
          <w:right w:val="nil"/>
          <w:between w:val="nil"/>
        </w:pBdr>
        <w:spacing w:after="0" w:line="240" w:lineRule="auto"/>
      </w:pPr>
      <w:r>
        <w:t>Solides compétences en communication et souci du détail</w:t>
      </w:r>
    </w:p>
    <w:p w:rsidR="005528DD" w:rsidRDefault="004B37B1">
      <w:pPr>
        <w:numPr>
          <w:ilvl w:val="0"/>
          <w:numId w:val="2"/>
        </w:numPr>
        <w:pBdr>
          <w:top w:val="nil"/>
          <w:left w:val="nil"/>
          <w:bottom w:val="nil"/>
          <w:right w:val="nil"/>
          <w:between w:val="nil"/>
        </w:pBdr>
        <w:spacing w:after="0" w:line="240" w:lineRule="auto"/>
      </w:pPr>
      <w:r>
        <w:t>Maîtrise professionnelle du français oral et écrit. La maîtrise de l'anglais est un atout.</w:t>
      </w:r>
    </w:p>
    <w:sectPr w:rsidR="005528D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9EF" w:rsidRDefault="00C409EF">
      <w:pPr>
        <w:spacing w:after="0" w:line="240" w:lineRule="auto"/>
      </w:pPr>
      <w:r>
        <w:separator/>
      </w:r>
    </w:p>
  </w:endnote>
  <w:endnote w:type="continuationSeparator" w:id="0">
    <w:p w:rsidR="00C409EF" w:rsidRDefault="00C4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A50" w:rsidRDefault="00587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DD" w:rsidRDefault="004B37B1">
    <w:pPr>
      <w:pBdr>
        <w:top w:val="single" w:sz="4" w:space="1" w:color="000000"/>
        <w:left w:val="nil"/>
        <w:bottom w:val="nil"/>
        <w:right w:val="nil"/>
        <w:between w:val="nil"/>
      </w:pBdr>
      <w:tabs>
        <w:tab w:val="center" w:pos="4680"/>
        <w:tab w:val="right" w:pos="9360"/>
      </w:tabs>
      <w:spacing w:after="0" w:line="240" w:lineRule="auto"/>
      <w:ind w:firstLine="288"/>
      <w:rPr>
        <w:rFonts w:ascii="Cambria" w:eastAsia="Cambria" w:hAnsi="Cambria" w:cs="Cambria"/>
        <w:color w:val="000000"/>
        <w:sz w:val="20"/>
        <w:szCs w:val="20"/>
      </w:rPr>
    </w:pPr>
    <w:r>
      <w:rPr>
        <w:rFonts w:ascii="Cambria" w:eastAsia="Cambria" w:hAnsi="Cambria" w:cs="Cambria"/>
        <w:b/>
        <w:color w:val="BA0C2F"/>
        <w:sz w:val="20"/>
        <w:szCs w:val="20"/>
      </w:rPr>
      <w:t xml:space="preserve">USAID </w:t>
    </w:r>
    <w:proofErr w:type="spellStart"/>
    <w:r>
      <w:rPr>
        <w:rFonts w:ascii="Cambria" w:eastAsia="Cambria" w:hAnsi="Cambria" w:cs="Cambria"/>
        <w:b/>
        <w:color w:val="BA0C2F"/>
        <w:sz w:val="20"/>
        <w:szCs w:val="20"/>
      </w:rPr>
      <w:t>Advancing</w:t>
    </w:r>
    <w:proofErr w:type="spellEnd"/>
    <w:r>
      <w:rPr>
        <w:rFonts w:ascii="Cambria" w:eastAsia="Cambria" w:hAnsi="Cambria" w:cs="Cambria"/>
        <w:b/>
        <w:color w:val="BA0C2F"/>
        <w:sz w:val="20"/>
        <w:szCs w:val="20"/>
      </w:rPr>
      <w:t xml:space="preserve"> Nutrition </w:t>
    </w:r>
    <w:r>
      <w:rPr>
        <w:rFonts w:ascii="Cambria" w:eastAsia="Cambria" w:hAnsi="Cambria" w:cs="Cambria"/>
        <w:color w:val="000000"/>
        <w:sz w:val="20"/>
        <w:szCs w:val="20"/>
      </w:rPr>
      <w:t>Consultant/Partenaire/Fournisseur Portée du travail (</w:t>
    </w:r>
    <w:r>
      <w:rPr>
        <w:rFonts w:ascii="Cambria" w:eastAsia="Cambria" w:hAnsi="Cambria" w:cs="Cambria"/>
        <w:color w:val="0070C0"/>
        <w:sz w:val="20"/>
        <w:szCs w:val="20"/>
      </w:rPr>
      <w:t>Nom du consultant | Mois Année</w:t>
    </w:r>
    <w:r>
      <w:rPr>
        <w:rFonts w:ascii="Cambria" w:eastAsia="Cambria" w:hAnsi="Cambria" w:cs="Cambria"/>
        <w:color w:val="000000"/>
        <w:sz w:val="20"/>
        <w:szCs w:val="20"/>
      </w:rPr>
      <w:t>)</w:t>
    </w:r>
    <w:r>
      <w:rPr>
        <w:rFonts w:ascii="Cambria" w:eastAsia="Cambria" w:hAnsi="Cambria" w:cs="Cambria"/>
        <w:color w:val="000000"/>
        <w:sz w:val="20"/>
        <w:szCs w:val="20"/>
      </w:rPr>
      <w:tab/>
    </w:r>
  </w:p>
  <w:p w:rsidR="005528DD" w:rsidRDefault="004B37B1">
    <w:pPr>
      <w:pBdr>
        <w:top w:val="nil"/>
        <w:left w:val="nil"/>
        <w:bottom w:val="nil"/>
        <w:right w:val="nil"/>
        <w:between w:val="nil"/>
      </w:pBdr>
      <w:tabs>
        <w:tab w:val="center" w:pos="4680"/>
        <w:tab w:val="right" w:pos="9360"/>
      </w:tabs>
      <w:spacing w:after="0" w:line="240" w:lineRule="auto"/>
      <w:ind w:firstLine="288"/>
      <w:jc w:val="right"/>
      <w:rPr>
        <w:rFonts w:ascii="Cambria" w:eastAsia="Cambria" w:hAnsi="Cambria" w:cs="Cambria"/>
        <w:b/>
        <w:color w:val="000000"/>
      </w:rPr>
    </w:pPr>
    <w:r>
      <w:rPr>
        <w:rFonts w:ascii="Cambria" w:eastAsia="Cambria" w:hAnsi="Cambria" w:cs="Cambria"/>
        <w:color w:val="000000"/>
        <w:sz w:val="20"/>
        <w:szCs w:val="20"/>
      </w:rPr>
      <w:tab/>
    </w:r>
    <w:r>
      <w:rPr>
        <w:rFonts w:ascii="Cambria" w:eastAsia="Cambria" w:hAnsi="Cambria" w:cs="Cambria"/>
        <w:color w:val="000000"/>
        <w:sz w:val="20"/>
        <w:szCs w:val="20"/>
      </w:rPr>
      <w:tab/>
      <w:t xml:space="preserve">N° de commande/accord : </w:t>
    </w:r>
    <w:r>
      <w:rPr>
        <w:rFonts w:ascii="Cambria" w:eastAsia="Cambria" w:hAnsi="Cambria" w:cs="Cambria"/>
        <w:b/>
        <w:color w:val="0070C0"/>
        <w:sz w:val="20"/>
        <w:szCs w:val="20"/>
      </w:rPr>
      <w:t>XXXXXXXXXX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DD" w:rsidRDefault="004B37B1">
    <w:pPr>
      <w:pBdr>
        <w:top w:val="single" w:sz="4" w:space="1" w:color="000000"/>
        <w:left w:val="nil"/>
        <w:bottom w:val="nil"/>
        <w:right w:val="nil"/>
        <w:between w:val="nil"/>
      </w:pBdr>
      <w:tabs>
        <w:tab w:val="center" w:pos="4680"/>
        <w:tab w:val="right" w:pos="9360"/>
      </w:tabs>
      <w:spacing w:after="0" w:line="240" w:lineRule="auto"/>
      <w:ind w:firstLine="288"/>
      <w:rPr>
        <w:rFonts w:ascii="Cambria" w:eastAsia="Cambria" w:hAnsi="Cambria" w:cs="Cambria"/>
        <w:color w:val="000000"/>
        <w:sz w:val="20"/>
        <w:szCs w:val="20"/>
      </w:rPr>
    </w:pPr>
    <w:r>
      <w:rPr>
        <w:rFonts w:ascii="Cambria" w:eastAsia="Cambria" w:hAnsi="Cambria" w:cs="Cambria"/>
        <w:b/>
        <w:color w:val="BA0C2F"/>
        <w:sz w:val="20"/>
        <w:szCs w:val="20"/>
      </w:rPr>
      <w:t xml:space="preserve">USAID </w:t>
    </w:r>
    <w:proofErr w:type="spellStart"/>
    <w:r>
      <w:rPr>
        <w:rFonts w:ascii="Cambria" w:eastAsia="Cambria" w:hAnsi="Cambria" w:cs="Cambria"/>
        <w:b/>
        <w:color w:val="BA0C2F"/>
        <w:sz w:val="20"/>
        <w:szCs w:val="20"/>
      </w:rPr>
      <w:t>Advancing</w:t>
    </w:r>
    <w:proofErr w:type="spellEnd"/>
    <w:r>
      <w:rPr>
        <w:rFonts w:ascii="Cambria" w:eastAsia="Cambria" w:hAnsi="Cambria" w:cs="Cambria"/>
        <w:b/>
        <w:color w:val="BA0C2F"/>
        <w:sz w:val="20"/>
        <w:szCs w:val="20"/>
      </w:rPr>
      <w:t xml:space="preserve"> Nutrition </w:t>
    </w:r>
    <w:r>
      <w:rPr>
        <w:rFonts w:ascii="Cambria" w:eastAsia="Cambria" w:hAnsi="Cambria" w:cs="Cambria"/>
        <w:color w:val="000000"/>
        <w:sz w:val="20"/>
        <w:szCs w:val="20"/>
      </w:rPr>
      <w:t xml:space="preserve">Consultant/Partenaire/Fournisseur </w:t>
    </w:r>
    <w:proofErr w:type="spellStart"/>
    <w:r>
      <w:rPr>
        <w:rFonts w:ascii="Cambria" w:eastAsia="Cambria" w:hAnsi="Cambria" w:cs="Cambria"/>
        <w:color w:val="000000"/>
        <w:sz w:val="20"/>
        <w:szCs w:val="20"/>
      </w:rPr>
      <w:t>TdR</w:t>
    </w:r>
    <w:proofErr w:type="spellEnd"/>
    <w:r>
      <w:rPr>
        <w:rFonts w:ascii="Cambria" w:eastAsia="Cambria" w:hAnsi="Cambria" w:cs="Cambria"/>
        <w:color w:val="000000"/>
        <w:sz w:val="20"/>
        <w:szCs w:val="20"/>
      </w:rPr>
      <w:t xml:space="preserve"> (</w:t>
    </w:r>
    <w:r>
      <w:rPr>
        <w:rFonts w:ascii="Cambria" w:eastAsia="Cambria" w:hAnsi="Cambria" w:cs="Cambria"/>
        <w:color w:val="0070C0"/>
        <w:sz w:val="20"/>
        <w:szCs w:val="20"/>
      </w:rPr>
      <w:t>Nom du consultant | Mois Année</w:t>
    </w:r>
    <w:r>
      <w:rPr>
        <w:rFonts w:ascii="Cambria" w:eastAsia="Cambria" w:hAnsi="Cambria" w:cs="Cambria"/>
        <w:color w:val="000000"/>
        <w:sz w:val="20"/>
        <w:szCs w:val="20"/>
      </w:rPr>
      <w:t>)</w:t>
    </w:r>
    <w:r>
      <w:rPr>
        <w:rFonts w:ascii="Cambria" w:eastAsia="Cambria" w:hAnsi="Cambria" w:cs="Cambria"/>
        <w:color w:val="000000"/>
        <w:sz w:val="20"/>
        <w:szCs w:val="20"/>
      </w:rPr>
      <w:tab/>
    </w:r>
  </w:p>
  <w:p w:rsidR="005528DD" w:rsidRDefault="004B37B1">
    <w:pPr>
      <w:pBdr>
        <w:top w:val="nil"/>
        <w:left w:val="nil"/>
        <w:bottom w:val="nil"/>
        <w:right w:val="nil"/>
        <w:between w:val="nil"/>
      </w:pBdr>
      <w:tabs>
        <w:tab w:val="center" w:pos="4680"/>
        <w:tab w:val="right" w:pos="9360"/>
      </w:tabs>
      <w:spacing w:after="0" w:line="240" w:lineRule="auto"/>
      <w:ind w:firstLine="288"/>
      <w:jc w:val="right"/>
      <w:rPr>
        <w:rFonts w:ascii="Cambria" w:eastAsia="Cambria" w:hAnsi="Cambria" w:cs="Cambria"/>
        <w:b/>
        <w:color w:val="000000"/>
      </w:rPr>
    </w:pPr>
    <w:r>
      <w:rPr>
        <w:rFonts w:ascii="Cambria" w:eastAsia="Cambria" w:hAnsi="Cambria" w:cs="Cambria"/>
        <w:color w:val="000000"/>
        <w:sz w:val="20"/>
        <w:szCs w:val="20"/>
      </w:rPr>
      <w:tab/>
    </w:r>
    <w:r>
      <w:rPr>
        <w:rFonts w:ascii="Cambria" w:eastAsia="Cambria" w:hAnsi="Cambria" w:cs="Cambria"/>
        <w:color w:val="000000"/>
        <w:sz w:val="20"/>
        <w:szCs w:val="20"/>
      </w:rPr>
      <w:tab/>
      <w:t xml:space="preserve">N° de commande/accord : </w:t>
    </w:r>
    <w:r>
      <w:rPr>
        <w:rFonts w:ascii="Cambria" w:eastAsia="Cambria" w:hAnsi="Cambria" w:cs="Cambria"/>
        <w:b/>
        <w:color w:val="0070C0"/>
        <w:sz w:val="20"/>
        <w:szCs w:val="20"/>
      </w:rPr>
      <w:t>XXXXXXXXXX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9EF" w:rsidRDefault="00C409EF">
      <w:pPr>
        <w:spacing w:after="0" w:line="240" w:lineRule="auto"/>
      </w:pPr>
      <w:r>
        <w:separator/>
      </w:r>
    </w:p>
  </w:footnote>
  <w:footnote w:type="continuationSeparator" w:id="0">
    <w:p w:rsidR="00C409EF" w:rsidRDefault="00C4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A50" w:rsidRDefault="00587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DD" w:rsidRDefault="004B37B1">
    <w:pPr>
      <w:pBdr>
        <w:top w:val="nil"/>
        <w:left w:val="nil"/>
        <w:bottom w:val="single" w:sz="4" w:space="1" w:color="D9D9D9"/>
        <w:right w:val="nil"/>
        <w:between w:val="nil"/>
      </w:pBdr>
      <w:tabs>
        <w:tab w:val="center" w:pos="4680"/>
        <w:tab w:val="right" w:pos="9360"/>
      </w:tabs>
      <w:spacing w:after="0" w:line="240" w:lineRule="auto"/>
      <w:ind w:left="0"/>
      <w:rPr>
        <w:rFonts w:ascii="Cambria" w:eastAsia="Cambria" w:hAnsi="Cambria" w:cs="Cambria"/>
        <w:b/>
        <w:color w:val="000000"/>
        <w:sz w:val="20"/>
        <w:szCs w:val="20"/>
      </w:rPr>
    </w:pPr>
    <w:r>
      <w:rPr>
        <w:rFonts w:ascii="Cambria" w:eastAsia="Cambria" w:hAnsi="Cambria" w:cs="Cambria"/>
        <w:color w:val="808080"/>
        <w:sz w:val="20"/>
        <w:szCs w:val="20"/>
      </w:rPr>
      <w:tab/>
    </w:r>
    <w:r>
      <w:rPr>
        <w:rFonts w:ascii="Cambria" w:eastAsia="Cambria" w:hAnsi="Cambria" w:cs="Cambria"/>
        <w:color w:val="808080"/>
        <w:sz w:val="20"/>
        <w:szCs w:val="20"/>
      </w:rPr>
      <w:tab/>
      <w:t>Page</w:t>
    </w:r>
    <w:r>
      <w:rPr>
        <w:rFonts w:ascii="Cambria" w:eastAsia="Cambria" w:hAnsi="Cambria" w:cs="Cambria"/>
        <w:color w:val="000000"/>
        <w:sz w:val="20"/>
        <w:szCs w:val="20"/>
      </w:rPr>
      <w:t xml:space="preserve">|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CF7E71">
      <w:rPr>
        <w:rFonts w:ascii="Cambria" w:eastAsia="Cambria" w:hAnsi="Cambria" w:cs="Cambria"/>
        <w:noProof/>
        <w:color w:val="000000"/>
        <w:sz w:val="20"/>
        <w:szCs w:val="20"/>
      </w:rPr>
      <w:t>2</w:t>
    </w:r>
    <w:r>
      <w:rPr>
        <w:rFonts w:ascii="Cambria" w:eastAsia="Cambria" w:hAnsi="Cambria" w:cs="Cambria"/>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DD" w:rsidRDefault="004B37B1">
    <w:pPr>
      <w:pBdr>
        <w:top w:val="nil"/>
        <w:left w:val="nil"/>
        <w:bottom w:val="nil"/>
        <w:right w:val="nil"/>
        <w:between w:val="nil"/>
      </w:pBdr>
      <w:ind w:left="0" w:hanging="288"/>
      <w:rPr>
        <w:color w:val="000000"/>
      </w:rPr>
    </w:pPr>
    <w:r>
      <w:rPr>
        <w:noProof/>
        <w:lang w:val="en-US"/>
      </w:rPr>
      <w:drawing>
        <wp:anchor distT="0" distB="0" distL="114300" distR="114300" simplePos="0" relativeHeight="251658240" behindDoc="0" locked="0" layoutInCell="1" hidden="0" allowOverlap="1">
          <wp:simplePos x="0" y="0"/>
          <wp:positionH relativeFrom="column">
            <wp:posOffset>-97787</wp:posOffset>
          </wp:positionH>
          <wp:positionV relativeFrom="paragraph">
            <wp:posOffset>-23492</wp:posOffset>
          </wp:positionV>
          <wp:extent cx="2209800" cy="6953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0" t="11666" b="13331"/>
                  <a:stretch>
                    <a:fillRect/>
                  </a:stretch>
                </pic:blipFill>
                <pic:spPr>
                  <a:xfrm>
                    <a:off x="0" y="0"/>
                    <a:ext cx="2209800" cy="695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9484C"/>
    <w:multiLevelType w:val="multilevel"/>
    <w:tmpl w:val="C0AE4F76"/>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 w15:restartNumberingAfterBreak="0">
    <w:nsid w:val="684A2062"/>
    <w:multiLevelType w:val="multilevel"/>
    <w:tmpl w:val="14485F0C"/>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2" w15:restartNumberingAfterBreak="0">
    <w:nsid w:val="698B468D"/>
    <w:multiLevelType w:val="multilevel"/>
    <w:tmpl w:val="97900666"/>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I"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DD"/>
    <w:rsid w:val="003146E0"/>
    <w:rsid w:val="004B37B1"/>
    <w:rsid w:val="005528DD"/>
    <w:rsid w:val="00587A50"/>
    <w:rsid w:val="00794091"/>
    <w:rsid w:val="008F55EB"/>
    <w:rsid w:val="00C409EF"/>
    <w:rsid w:val="00C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E007"/>
  <w15:docId w15:val="{C67C2E07-DB84-4104-BE5C-8A19219A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CI" w:eastAsia="en-US" w:bidi="ar-SA"/>
      </w:rPr>
    </w:rPrDefault>
    <w:pPrDefault>
      <w:pPr>
        <w:spacing w:after="200" w:line="276" w:lineRule="auto"/>
        <w:ind w:left="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entury Gothic" w:eastAsia="Century Gothic" w:hAnsi="Century Gothic" w:cs="Century Gothic"/>
      <w:b/>
      <w:sz w:val="32"/>
      <w:szCs w:val="32"/>
    </w:rPr>
  </w:style>
  <w:style w:type="paragraph" w:styleId="Heading2">
    <w:name w:val="heading 2"/>
    <w:basedOn w:val="Normal"/>
    <w:next w:val="Normal"/>
    <w:pPr>
      <w:keepNext/>
      <w:keepLines/>
      <w:spacing w:before="200" w:after="0"/>
      <w:outlineLvl w:val="1"/>
    </w:pPr>
    <w:rPr>
      <w:rFonts w:ascii="Century Gothic" w:eastAsia="Century Gothic" w:hAnsi="Century Gothic" w:cs="Century Gothic"/>
      <w:b/>
      <w:color w:val="91993E"/>
      <w:sz w:val="26"/>
      <w:szCs w:val="26"/>
    </w:rPr>
  </w:style>
  <w:style w:type="paragraph" w:styleId="Heading3">
    <w:name w:val="heading 3"/>
    <w:basedOn w:val="Normal"/>
    <w:next w:val="Normal"/>
    <w:pPr>
      <w:keepNext/>
      <w:keepLines/>
      <w:spacing w:before="200" w:after="0"/>
      <w:outlineLvl w:val="2"/>
    </w:pPr>
    <w:rPr>
      <w:rFonts w:ascii="Century Gothic" w:eastAsia="Century Gothic" w:hAnsi="Century Gothic" w:cs="Century Gothic"/>
      <w:b/>
      <w:color w:val="91993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91993E"/>
      </w:pBdr>
      <w:spacing w:after="300" w:line="240" w:lineRule="auto"/>
    </w:pPr>
    <w:rPr>
      <w:rFonts w:ascii="Century Gothic" w:eastAsia="Century Gothic" w:hAnsi="Century Gothic" w:cs="Century Gothic"/>
      <w:color w:val="354B21"/>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left="0"/>
    </w:pPr>
    <w:rPr>
      <w:rFonts w:ascii="Times New Roman" w:eastAsia="Times New Roman" w:hAnsi="Times New Roman" w:cs="Times New Roman"/>
      <w:sz w:val="20"/>
      <w:szCs w:val="20"/>
    </w:rPr>
    <w:tblPr>
      <w:tblStyleRowBandSize w:val="1"/>
      <w:tblStyleColBandSize w:val="1"/>
    </w:tblPr>
  </w:style>
  <w:style w:type="paragraph" w:styleId="ListParagraph">
    <w:name w:val="List Paragraph"/>
    <w:basedOn w:val="Normal"/>
    <w:uiPriority w:val="34"/>
    <w:qFormat/>
    <w:rsid w:val="00272437"/>
    <w:pPr>
      <w:ind w:left="720"/>
      <w:contextualSpacing/>
    </w:pPr>
  </w:style>
  <w:style w:type="paragraph" w:styleId="Header">
    <w:name w:val="header"/>
    <w:basedOn w:val="Normal"/>
    <w:link w:val="HeaderChar"/>
    <w:uiPriority w:val="99"/>
    <w:unhideWhenUsed/>
    <w:rsid w:val="0060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28A"/>
  </w:style>
  <w:style w:type="paragraph" w:styleId="Footer">
    <w:name w:val="footer"/>
    <w:basedOn w:val="Normal"/>
    <w:link w:val="FooterChar"/>
    <w:uiPriority w:val="99"/>
    <w:unhideWhenUsed/>
    <w:rsid w:val="0060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28A"/>
  </w:style>
  <w:style w:type="paragraph" w:styleId="Revision">
    <w:name w:val="Revision"/>
    <w:hidden/>
    <w:uiPriority w:val="99"/>
    <w:semiHidden/>
    <w:rsid w:val="00806E0B"/>
    <w:pPr>
      <w:spacing w:after="0" w:line="240" w:lineRule="auto"/>
      <w:ind w:left="0"/>
    </w:pPr>
  </w:style>
  <w:style w:type="character" w:styleId="CommentReference">
    <w:name w:val="annotation reference"/>
    <w:basedOn w:val="DefaultParagraphFont"/>
    <w:uiPriority w:val="99"/>
    <w:semiHidden/>
    <w:unhideWhenUsed/>
    <w:rsid w:val="00863813"/>
    <w:rPr>
      <w:sz w:val="16"/>
      <w:szCs w:val="16"/>
    </w:rPr>
  </w:style>
  <w:style w:type="paragraph" w:styleId="CommentText">
    <w:name w:val="annotation text"/>
    <w:basedOn w:val="Normal"/>
    <w:link w:val="CommentTextChar"/>
    <w:uiPriority w:val="99"/>
    <w:semiHidden/>
    <w:unhideWhenUsed/>
    <w:rsid w:val="00863813"/>
    <w:pPr>
      <w:spacing w:line="240" w:lineRule="auto"/>
    </w:pPr>
    <w:rPr>
      <w:sz w:val="20"/>
      <w:szCs w:val="20"/>
    </w:rPr>
  </w:style>
  <w:style w:type="character" w:customStyle="1" w:styleId="CommentTextChar">
    <w:name w:val="Comment Text Char"/>
    <w:basedOn w:val="DefaultParagraphFont"/>
    <w:link w:val="CommentText"/>
    <w:uiPriority w:val="99"/>
    <w:semiHidden/>
    <w:rsid w:val="00863813"/>
    <w:rPr>
      <w:sz w:val="20"/>
      <w:szCs w:val="20"/>
    </w:rPr>
  </w:style>
  <w:style w:type="paragraph" w:styleId="CommentSubject">
    <w:name w:val="annotation subject"/>
    <w:basedOn w:val="CommentText"/>
    <w:next w:val="CommentText"/>
    <w:link w:val="CommentSubjectChar"/>
    <w:uiPriority w:val="99"/>
    <w:semiHidden/>
    <w:unhideWhenUsed/>
    <w:rsid w:val="00863813"/>
    <w:rPr>
      <w:b/>
      <w:bCs/>
    </w:rPr>
  </w:style>
  <w:style w:type="character" w:customStyle="1" w:styleId="CommentSubjectChar">
    <w:name w:val="Comment Subject Char"/>
    <w:basedOn w:val="CommentTextChar"/>
    <w:link w:val="CommentSubject"/>
    <w:uiPriority w:val="99"/>
    <w:semiHidden/>
    <w:rsid w:val="00863813"/>
    <w:rPr>
      <w:b/>
      <w:bCs/>
      <w:sz w:val="20"/>
      <w:szCs w:val="20"/>
    </w:rPr>
  </w:style>
  <w:style w:type="table" w:customStyle="1" w:styleId="a0">
    <w:basedOn w:val="TableNormal"/>
    <w:pPr>
      <w:spacing w:after="0" w:line="240" w:lineRule="auto"/>
      <w:ind w:left="0"/>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9J6h6HMuNX5QWFdktCcR7GlvwA==">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NCBA CLUSA</dc:creator>
  <cp:lastModifiedBy>Rosie Eldridge</cp:lastModifiedBy>
  <cp:revision>5</cp:revision>
  <dcterms:created xsi:type="dcterms:W3CDTF">2022-11-02T17:50:00Z</dcterms:created>
  <dcterms:modified xsi:type="dcterms:W3CDTF">2022-11-03T16:55:00Z</dcterms:modified>
</cp:coreProperties>
</file>