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4E79" w14:textId="73254B77" w:rsidR="00A0169C" w:rsidRPr="00B21F28" w:rsidRDefault="00A0169C">
      <w:pPr>
        <w:rPr>
          <w:lang w:val="fr-FR"/>
        </w:rPr>
      </w:pPr>
    </w:p>
    <w:p w14:paraId="78CD0A17" w14:textId="6D0909EA" w:rsidR="00A0169C" w:rsidRPr="00B21F28" w:rsidRDefault="00A0169C">
      <w:pPr>
        <w:rPr>
          <w:lang w:val="fr-FR"/>
        </w:rPr>
      </w:pPr>
    </w:p>
    <w:p w14:paraId="1F3420B6" w14:textId="77777777" w:rsidR="00AA1E3F" w:rsidRPr="00B21F28" w:rsidRDefault="00AA1E3F" w:rsidP="00AA1E3F">
      <w:pPr>
        <w:rPr>
          <w:lang w:val="fr-FR"/>
        </w:rPr>
      </w:pPr>
    </w:p>
    <w:p w14:paraId="2DD7AD00" w14:textId="3FC92C51" w:rsidR="00AA1E3F" w:rsidRPr="00B21F28" w:rsidRDefault="00E40200" w:rsidP="005C7C27">
      <w:pPr>
        <w:pStyle w:val="Heading1"/>
        <w:rPr>
          <w:color w:val="BA000A"/>
          <w:spacing w:val="-2"/>
          <w:lang w:val="fr-FR"/>
        </w:rPr>
      </w:pPr>
      <w:r w:rsidRPr="00B21F28">
        <w:rPr>
          <w:lang w:val="fr-FR"/>
        </w:rPr>
        <w:t>Feuille</w:t>
      </w:r>
      <w:r w:rsidR="006075CB" w:rsidRPr="00B21F28">
        <w:rPr>
          <w:lang w:val="fr-FR"/>
        </w:rPr>
        <w:t xml:space="preserve"> </w:t>
      </w:r>
      <w:r w:rsidRPr="00B21F28">
        <w:rPr>
          <w:lang w:val="fr-FR"/>
        </w:rPr>
        <w:t xml:space="preserve">de travail </w:t>
      </w:r>
      <w:r w:rsidR="006075CB" w:rsidRPr="00B21F28">
        <w:rPr>
          <w:lang w:val="fr-FR"/>
        </w:rPr>
        <w:t>1.1</w:t>
      </w:r>
      <w:r w:rsidR="006D2CAD" w:rsidRPr="00B21F28">
        <w:rPr>
          <w:lang w:val="fr-FR"/>
        </w:rPr>
        <w:t xml:space="preserve"> </w:t>
      </w:r>
      <w:r w:rsidR="006075CB" w:rsidRPr="00B21F28">
        <w:rPr>
          <w:lang w:val="fr-FR"/>
        </w:rPr>
        <w:t>Priori</w:t>
      </w:r>
      <w:r w:rsidRPr="00B21F28">
        <w:rPr>
          <w:lang w:val="fr-FR"/>
        </w:rPr>
        <w:t>s</w:t>
      </w:r>
      <w:r w:rsidR="006075CB" w:rsidRPr="00B21F28">
        <w:rPr>
          <w:lang w:val="fr-FR"/>
        </w:rPr>
        <w:t>ation</w:t>
      </w:r>
      <w:r w:rsidRPr="00B21F28">
        <w:rPr>
          <w:lang w:val="fr-FR"/>
        </w:rPr>
        <w:t xml:space="preserve"> initiale</w:t>
      </w:r>
    </w:p>
    <w:tbl>
      <w:tblPr>
        <w:tblW w:w="135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530"/>
        <w:gridCol w:w="1710"/>
        <w:gridCol w:w="1440"/>
        <w:gridCol w:w="1350"/>
        <w:gridCol w:w="1620"/>
        <w:gridCol w:w="2790"/>
      </w:tblGrid>
      <w:tr w:rsidR="00DA42DE" w:rsidRPr="00B21F28" w14:paraId="6B8202B7" w14:textId="6249A141" w:rsidTr="003E3983">
        <w:trPr>
          <w:trHeight w:val="20"/>
          <w:tblHeader/>
        </w:trPr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E1CD11" w14:textId="6FDB6C09" w:rsidR="00DA42DE" w:rsidRPr="00B21F28" w:rsidRDefault="00E40200" w:rsidP="00834B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Comportements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03E252" w14:textId="32403E7C" w:rsidR="00DA42DE" w:rsidRPr="00B21F28" w:rsidRDefault="00E40200" w:rsidP="00DA42D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Préval</w:t>
            </w:r>
            <w:r w:rsidR="007078BC"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nce du comportement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A0C2F"/>
          </w:tcPr>
          <w:p w14:paraId="190E46D6" w14:textId="05DC429C" w:rsidR="00DA42DE" w:rsidRPr="00B21F28" w:rsidRDefault="00E40200" w:rsidP="00DA42DE">
            <w:pPr>
              <w:suppressAutoHyphens/>
              <w:autoSpaceDE w:val="0"/>
              <w:autoSpaceDN w:val="0"/>
              <w:adjustRightInd w:val="0"/>
              <w:ind w:left="60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Écart de comportement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A0C2F"/>
          </w:tcPr>
          <w:p w14:paraId="2FEDBF74" w14:textId="2C946F81" w:rsidR="00DA42DE" w:rsidRPr="00B21F28" w:rsidRDefault="00DA42DE" w:rsidP="00DA42DE">
            <w:pPr>
              <w:suppressAutoHyphens/>
              <w:autoSpaceDE w:val="0"/>
              <w:autoSpaceDN w:val="0"/>
              <w:adjustRightInd w:val="0"/>
              <w:ind w:left="12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Potenti</w:t>
            </w:r>
            <w:r w:rsidR="001A4C5F"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l </w:t>
            </w:r>
            <w:r w:rsidR="00E40200"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d’impact sur les résultats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/>
            </w:tcBorders>
            <w:shd w:val="clear" w:color="auto" w:fill="BA0C2F"/>
          </w:tcPr>
          <w:p w14:paraId="30740BA3" w14:textId="42AD1A71" w:rsidR="00DA42DE" w:rsidRPr="00B21F28" w:rsidRDefault="00E40200" w:rsidP="00DA42DE">
            <w:pPr>
              <w:suppressAutoHyphens/>
              <w:autoSpaceDE w:val="0"/>
              <w:autoSpaceDN w:val="0"/>
              <w:adjustRightInd w:val="0"/>
              <w:ind w:left="100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Moyenne 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FFFFFF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6EEF4048" w14:textId="0C7A29F8" w:rsidR="00DA42DE" w:rsidRPr="00B21F28" w:rsidRDefault="00E40200" w:rsidP="00DA42DE">
            <w:pPr>
              <w:suppressAutoHyphens/>
              <w:autoSpaceDE w:val="0"/>
              <w:autoSpaceDN w:val="0"/>
              <w:adjustRightInd w:val="0"/>
              <w:ind w:left="40"/>
              <w:textAlignment w:val="center"/>
              <w:rPr>
                <w:rFonts w:cs="Gill Sans Std"/>
                <w:color w:val="FFFFFF" w:themeColor="background1"/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Capacité potentielle de changement (Oui ou non)</w:t>
            </w:r>
          </w:p>
        </w:tc>
        <w:tc>
          <w:tcPr>
            <w:tcW w:w="2790" w:type="dxa"/>
            <w:vMerge w:val="restart"/>
            <w:tcBorders>
              <w:top w:val="single" w:sz="8" w:space="0" w:color="auto"/>
              <w:left w:val="single" w:sz="8" w:space="0" w:color="FFFFFF" w:themeColor="background1"/>
              <w:right w:val="single" w:sz="8" w:space="0" w:color="auto"/>
            </w:tcBorders>
            <w:shd w:val="clear" w:color="auto" w:fill="BA0C2F"/>
          </w:tcPr>
          <w:p w14:paraId="3DBC1AE6" w14:textId="3779CA69" w:rsidR="00DA42DE" w:rsidRPr="00B21F28" w:rsidRDefault="00DA42DE" w:rsidP="00DA42DE">
            <w:pPr>
              <w:suppressAutoHyphens/>
              <w:autoSpaceDE w:val="0"/>
              <w:autoSpaceDN w:val="0"/>
              <w:adjustRightInd w:val="0"/>
              <w:ind w:left="8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Notes</w:t>
            </w:r>
          </w:p>
        </w:tc>
      </w:tr>
      <w:tr w:rsidR="00DA42DE" w:rsidRPr="00EB362E" w14:paraId="218FDFFC" w14:textId="77777777" w:rsidTr="003E3983">
        <w:trPr>
          <w:trHeight w:val="20"/>
          <w:tblHeader/>
        </w:trPr>
        <w:tc>
          <w:tcPr>
            <w:tcW w:w="3150" w:type="dxa"/>
            <w:vMerge/>
            <w:tcBorders>
              <w:top w:val="single" w:sz="8" w:space="0" w:color="FFFFFF" w:themeColor="background1"/>
              <w:left w:val="single" w:sz="8" w:space="0" w:color="auto"/>
              <w:bottom w:val="single" w:sz="8" w:space="0" w:color="000000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80D02C" w14:textId="77777777" w:rsidR="00DA42DE" w:rsidRPr="00B21F28" w:rsidRDefault="00DA42DE" w:rsidP="00834B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30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BF08F1" w14:textId="7A9744D3" w:rsidR="00DA42DE" w:rsidRPr="00B21F28" w:rsidRDefault="008D0C80" w:rsidP="00DA42DE">
            <w:pPr>
              <w:tabs>
                <w:tab w:val="left" w:pos="4690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Gill Sans Std"/>
                <w:b/>
                <w:bCs/>
                <w:color w:val="FFFFFF" w:themeColor="background1"/>
                <w:sz w:val="20"/>
                <w:szCs w:val="20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21F28">
              <w:rPr>
                <w:rFonts w:cs="Gill Sans Std"/>
                <w:b/>
                <w:bCs/>
                <w:color w:val="FFFFFF" w:themeColor="background1"/>
                <w:sz w:val="20"/>
                <w:szCs w:val="20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Élevé(e), moyen(ne) ou faible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FFFFFF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44" w:type="dxa"/>
              <w:bottom w:w="180" w:type="dxa"/>
              <w:right w:w="144" w:type="dxa"/>
            </w:tcMar>
          </w:tcPr>
          <w:p w14:paraId="2BC6E10A" w14:textId="77777777" w:rsidR="00DA42DE" w:rsidRPr="00B21F28" w:rsidRDefault="00DA42DE" w:rsidP="00834B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90" w:type="dxa"/>
            <w:vMerge/>
            <w:tcBorders>
              <w:top w:val="single" w:sz="8" w:space="0" w:color="auto"/>
              <w:left w:val="single" w:sz="8" w:space="0" w:color="FFFFFF" w:themeColor="background1"/>
              <w:right w:val="single" w:sz="8" w:space="0" w:color="auto"/>
            </w:tcBorders>
            <w:shd w:val="clear" w:color="auto" w:fill="BA0C2F"/>
          </w:tcPr>
          <w:p w14:paraId="07B40E29" w14:textId="77777777" w:rsidR="00DA42DE" w:rsidRPr="00B21F28" w:rsidRDefault="00DA42DE" w:rsidP="00834B35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A42DE" w:rsidRPr="00EB362E" w14:paraId="7B5F97EB" w14:textId="7460ACB0" w:rsidTr="003E3983">
        <w:trPr>
          <w:trHeight w:val="20"/>
        </w:trPr>
        <w:tc>
          <w:tcPr>
            <w:tcW w:w="13590" w:type="dxa"/>
            <w:gridSpan w:val="7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BCDD28D" w14:textId="63FDAEE2" w:rsidR="00DA42DE" w:rsidRPr="00B21F28" w:rsidRDefault="008D0C80" w:rsidP="00D51E68">
            <w:pPr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cs="Gill Sans Std"/>
                <w:b/>
                <w:bCs/>
                <w:color w:val="BA000A"/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b/>
                <w:bCs/>
                <w:color w:val="BA000A"/>
                <w:sz w:val="22"/>
                <w:szCs w:val="22"/>
                <w:lang w:val="fr-FR"/>
              </w:rPr>
              <w:t>Alimentation c</w:t>
            </w:r>
            <w:r w:rsidR="00DA42DE" w:rsidRPr="00B21F28">
              <w:rPr>
                <w:rFonts w:cs="Gill Sans Std"/>
                <w:b/>
                <w:bCs/>
                <w:color w:val="BA000A"/>
                <w:sz w:val="22"/>
                <w:szCs w:val="22"/>
                <w:lang w:val="fr-FR"/>
              </w:rPr>
              <w:t>ompl</w:t>
            </w:r>
            <w:r w:rsidR="007078BC" w:rsidRPr="00B21F28">
              <w:rPr>
                <w:rFonts w:cs="Gill Sans Std"/>
                <w:b/>
                <w:bCs/>
                <w:color w:val="BA000A"/>
                <w:sz w:val="22"/>
                <w:szCs w:val="22"/>
                <w:lang w:val="fr-FR"/>
              </w:rPr>
              <w:t>é</w:t>
            </w:r>
            <w:r w:rsidR="00DA42DE" w:rsidRPr="00B21F28">
              <w:rPr>
                <w:rFonts w:cs="Gill Sans Std"/>
                <w:b/>
                <w:bCs/>
                <w:color w:val="BA000A"/>
                <w:sz w:val="22"/>
                <w:szCs w:val="22"/>
                <w:lang w:val="fr-FR"/>
              </w:rPr>
              <w:t>m</w:t>
            </w:r>
            <w:r w:rsidR="007078BC" w:rsidRPr="00B21F28">
              <w:rPr>
                <w:rFonts w:cs="Gill Sans Std"/>
                <w:b/>
                <w:bCs/>
                <w:color w:val="BA000A"/>
                <w:sz w:val="22"/>
                <w:szCs w:val="22"/>
                <w:lang w:val="fr-FR"/>
              </w:rPr>
              <w:t>e</w:t>
            </w:r>
            <w:r w:rsidR="00DA42DE" w:rsidRPr="00B21F28">
              <w:rPr>
                <w:rFonts w:cs="Gill Sans Std"/>
                <w:b/>
                <w:bCs/>
                <w:color w:val="BA000A"/>
                <w:sz w:val="22"/>
                <w:szCs w:val="22"/>
                <w:lang w:val="fr-FR"/>
              </w:rPr>
              <w:t>nta</w:t>
            </w:r>
            <w:r w:rsidR="007078BC" w:rsidRPr="00B21F28">
              <w:rPr>
                <w:rFonts w:cs="Gill Sans Std"/>
                <w:b/>
                <w:bCs/>
                <w:color w:val="BA000A"/>
                <w:sz w:val="22"/>
                <w:szCs w:val="22"/>
                <w:lang w:val="fr-FR"/>
              </w:rPr>
              <w:t>ire</w:t>
            </w:r>
            <w:r w:rsidR="00DA42DE" w:rsidRPr="00B21F28">
              <w:rPr>
                <w:rFonts w:cs="Gill Sans Std"/>
                <w:b/>
                <w:bCs/>
                <w:color w:val="BA000A"/>
                <w:sz w:val="22"/>
                <w:szCs w:val="22"/>
                <w:lang w:val="fr-FR"/>
              </w:rPr>
              <w:t xml:space="preserve"> </w:t>
            </w:r>
            <w:r w:rsidR="007078BC" w:rsidRPr="00B21F28">
              <w:rPr>
                <w:rFonts w:cs="Gill Sans Std"/>
                <w:b/>
                <w:bCs/>
                <w:color w:val="BA000A"/>
                <w:sz w:val="22"/>
                <w:szCs w:val="22"/>
                <w:lang w:val="fr-FR"/>
              </w:rPr>
              <w:t>des jeunes enfants</w:t>
            </w:r>
          </w:p>
        </w:tc>
      </w:tr>
      <w:tr w:rsidR="007A413A" w:rsidRPr="00EB362E" w14:paraId="31410824" w14:textId="62133360" w:rsidTr="003E3983">
        <w:trPr>
          <w:trHeight w:val="20"/>
        </w:trPr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54125A" w14:textId="04AA3F02" w:rsidR="007A413A" w:rsidRPr="00B21F28" w:rsidRDefault="007078BC" w:rsidP="007078BC">
            <w:pPr>
              <w:autoSpaceDE w:val="0"/>
              <w:autoSpaceDN w:val="0"/>
              <w:adjustRightInd w:val="0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s'occupent des enfants âgés de 6 à 23 mois les nourrissent avec une fréquence, une quantité et une régularité adaptées à leur âge tout en continuant à les allaiter.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50C376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676B9E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987FDD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6E179B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8C5260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</w:tcPr>
          <w:p w14:paraId="15A6E702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7A413A" w:rsidRPr="00EB362E" w14:paraId="0E8EDCBE" w14:textId="3EF8F83D" w:rsidTr="007C56EF">
        <w:trPr>
          <w:trHeight w:val="20"/>
        </w:trPr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2CB8AE" w14:textId="792BED47" w:rsidR="00D51E68" w:rsidRPr="00B21F28" w:rsidRDefault="007078BC" w:rsidP="00EB362E">
            <w:pPr>
              <w:autoSpaceDE w:val="0"/>
              <w:autoSpaceDN w:val="0"/>
              <w:adjustRightInd w:val="0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utilisent chaque jour une variété d'aliments riches en nutriments dans les repas et les collations des enfants âgés de 6</w:t>
            </w:r>
            <w:r w:rsidR="00EB362E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 </w:t>
            </w:r>
            <w:r w:rsidRPr="00B21F28">
              <w:rPr>
                <w:rFonts w:cs="Gill Sans Std"/>
                <w:color w:val="000000"/>
                <w:sz w:val="22"/>
                <w:szCs w:val="22"/>
                <w:lang w:val="fr-FR"/>
              </w:rPr>
              <w:t>à 23 mois.</w:t>
            </w:r>
          </w:p>
          <w:p w14:paraId="26E209B2" w14:textId="493966E2" w:rsidR="00D51E68" w:rsidRPr="00B21F28" w:rsidRDefault="00D51E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9AC97B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304906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6E671C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7687CC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4462CB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</w:tcPr>
          <w:p w14:paraId="7058250F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7C56EF" w:rsidRPr="00EB362E" w14:paraId="420D1CB7" w14:textId="77777777" w:rsidTr="003E3983">
        <w:trPr>
          <w:trHeight w:val="20"/>
        </w:trPr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DCCD73" w14:textId="77777777" w:rsidR="007C56EF" w:rsidRPr="00B21F28" w:rsidRDefault="007C56EF" w:rsidP="00EB362E">
            <w:pPr>
              <w:autoSpaceDE w:val="0"/>
              <w:autoSpaceDN w:val="0"/>
              <w:adjustRightInd w:val="0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C2B281" w14:textId="77777777" w:rsidR="007C56EF" w:rsidRPr="00B21F28" w:rsidRDefault="007C56EF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446F747" w14:textId="77777777" w:rsidR="007C56EF" w:rsidRPr="00B21F28" w:rsidRDefault="007C56EF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890E60" w14:textId="77777777" w:rsidR="007C56EF" w:rsidRPr="00B21F28" w:rsidRDefault="007C56EF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F93976" w14:textId="77777777" w:rsidR="007C56EF" w:rsidRPr="00B21F28" w:rsidRDefault="007C56EF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11E53BD" w14:textId="77777777" w:rsidR="007C56EF" w:rsidRPr="00B21F28" w:rsidRDefault="007C56EF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D7D3D3"/>
          </w:tcPr>
          <w:p w14:paraId="037F347C" w14:textId="77777777" w:rsidR="007C56EF" w:rsidRPr="00B21F28" w:rsidRDefault="007C56EF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</w:tbl>
    <w:p w14:paraId="079A9385" w14:textId="77777777" w:rsidR="00141DE0" w:rsidRPr="00B21F28" w:rsidRDefault="00141DE0" w:rsidP="00834B35">
      <w:pPr>
        <w:suppressAutoHyphens/>
        <w:autoSpaceDE w:val="0"/>
        <w:autoSpaceDN w:val="0"/>
        <w:adjustRightInd w:val="0"/>
        <w:textAlignment w:val="center"/>
        <w:rPr>
          <w:rFonts w:cs="Gill Sans Std"/>
          <w:color w:val="000000"/>
          <w:sz w:val="22"/>
          <w:szCs w:val="22"/>
          <w:lang w:val="fr-FR"/>
        </w:rPr>
        <w:sectPr w:rsidR="00141DE0" w:rsidRPr="00B21F28" w:rsidSect="00A016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1359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440"/>
        <w:gridCol w:w="90"/>
        <w:gridCol w:w="1440"/>
        <w:gridCol w:w="90"/>
        <w:gridCol w:w="1440"/>
        <w:gridCol w:w="1530"/>
        <w:gridCol w:w="1710"/>
        <w:gridCol w:w="2700"/>
      </w:tblGrid>
      <w:tr w:rsidR="007078BC" w:rsidRPr="00B21F28" w14:paraId="79E446DC" w14:textId="77777777" w:rsidTr="003E3983">
        <w:trPr>
          <w:trHeight w:val="640"/>
          <w:tblHeader/>
        </w:trPr>
        <w:tc>
          <w:tcPr>
            <w:tcW w:w="31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AC473A3" w14:textId="479F2CCD" w:rsidR="007078BC" w:rsidRPr="00B21F28" w:rsidRDefault="007078BC" w:rsidP="007078BC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Comportements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124EED" w14:textId="11DF0220" w:rsidR="007078BC" w:rsidRPr="00B21F28" w:rsidRDefault="007078BC" w:rsidP="007078B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Prévalence du comportement 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BA0C2F"/>
          </w:tcPr>
          <w:p w14:paraId="45D810CE" w14:textId="11D39837" w:rsidR="007078BC" w:rsidRPr="00B21F28" w:rsidRDefault="007078BC" w:rsidP="007078BC">
            <w:pPr>
              <w:autoSpaceDE w:val="0"/>
              <w:autoSpaceDN w:val="0"/>
              <w:adjustRightInd w:val="0"/>
              <w:ind w:left="170"/>
              <w:rPr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Écart de comportement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BA0C2F"/>
          </w:tcPr>
          <w:p w14:paraId="2A747F0F" w14:textId="2F3E581F" w:rsidR="007078BC" w:rsidRPr="00B21F28" w:rsidRDefault="007078BC" w:rsidP="007078BC">
            <w:pPr>
              <w:autoSpaceDE w:val="0"/>
              <w:autoSpaceDN w:val="0"/>
              <w:adjustRightInd w:val="0"/>
              <w:ind w:left="80"/>
              <w:rPr>
                <w:sz w:val="22"/>
                <w:szCs w:val="22"/>
                <w:lang w:val="fr-FR"/>
              </w:rPr>
            </w:pPr>
            <w:proofErr w:type="spellStart"/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Potential</w:t>
            </w:r>
            <w:proofErr w:type="spellEnd"/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d’impact sur les résultats 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auto" w:fill="BA0C2F"/>
          </w:tcPr>
          <w:p w14:paraId="59AD9E14" w14:textId="4D96101F" w:rsidR="007078BC" w:rsidRPr="00B21F28" w:rsidRDefault="007078BC" w:rsidP="007078BC">
            <w:pPr>
              <w:autoSpaceDE w:val="0"/>
              <w:autoSpaceDN w:val="0"/>
              <w:adjustRightInd w:val="0"/>
              <w:ind w:left="80"/>
              <w:rPr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Moyenne 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964DA3" w14:textId="73A8A98E" w:rsidR="007078BC" w:rsidRPr="00B21F28" w:rsidRDefault="007078BC" w:rsidP="007078B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Capacité potentielle de changement (Oui ou non)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FFFFFF"/>
              <w:right w:val="single" w:sz="8" w:space="0" w:color="auto"/>
            </w:tcBorders>
            <w:shd w:val="clear" w:color="auto" w:fill="BA0C2F"/>
          </w:tcPr>
          <w:p w14:paraId="452D6764" w14:textId="15A07CA2" w:rsidR="007078BC" w:rsidRPr="00B21F28" w:rsidRDefault="007078BC" w:rsidP="007078BC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Notes</w:t>
            </w:r>
          </w:p>
        </w:tc>
      </w:tr>
      <w:tr w:rsidR="00D51E68" w:rsidRPr="00EB362E" w14:paraId="32876A9B" w14:textId="77777777" w:rsidTr="003E3983">
        <w:trPr>
          <w:trHeight w:val="133"/>
          <w:tblHeader/>
        </w:trPr>
        <w:tc>
          <w:tcPr>
            <w:tcW w:w="3150" w:type="dxa"/>
            <w:vMerge/>
            <w:tcBorders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FD9C519" w14:textId="77777777" w:rsidR="00D51E68" w:rsidRPr="00B21F28" w:rsidRDefault="00D51E68" w:rsidP="00D51E68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0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6B3CF5" w14:textId="70880921" w:rsidR="00D51E68" w:rsidRPr="00B21F28" w:rsidRDefault="007078BC" w:rsidP="00D51E68">
            <w:pPr>
              <w:autoSpaceDE w:val="0"/>
              <w:autoSpaceDN w:val="0"/>
              <w:adjustRightInd w:val="0"/>
              <w:jc w:val="center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B21F28">
              <w:rPr>
                <w:rFonts w:cs="Gill Sans Std"/>
                <w:b/>
                <w:bCs/>
                <w:color w:val="FFFFFF" w:themeColor="background1"/>
                <w:sz w:val="20"/>
                <w:szCs w:val="20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Élevé(e), moyen(ne) ou faible</w:t>
            </w:r>
          </w:p>
        </w:tc>
        <w:tc>
          <w:tcPr>
            <w:tcW w:w="171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A0C2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0E33A1" w14:textId="77777777" w:rsidR="00D51E68" w:rsidRPr="00B21F28" w:rsidRDefault="00D51E68" w:rsidP="00D51E68">
            <w:pPr>
              <w:autoSpaceDE w:val="0"/>
              <w:autoSpaceDN w:val="0"/>
              <w:adjustRightInd w:val="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BA0C2F"/>
          </w:tcPr>
          <w:p w14:paraId="24DFA346" w14:textId="77777777" w:rsidR="00D51E68" w:rsidRPr="00B21F28" w:rsidRDefault="00D51E68" w:rsidP="00D51E68">
            <w:pPr>
              <w:autoSpaceDE w:val="0"/>
              <w:autoSpaceDN w:val="0"/>
              <w:adjustRightInd w:val="0"/>
              <w:rPr>
                <w:rFonts w:cs="Gill Sans Std"/>
                <w:b/>
                <w:bCs/>
                <w:color w:val="FFFFFF" w:themeColor="background1"/>
                <w:sz w:val="22"/>
                <w:szCs w:val="22"/>
                <w:lang w:val="fr-FR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A413A" w:rsidRPr="00EB362E" w14:paraId="4F5423A2" w14:textId="009295AE" w:rsidTr="007078BC">
        <w:trPr>
          <w:trHeight w:val="925"/>
        </w:trPr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B71415" w14:textId="0FDF1A8E" w:rsidR="007A413A" w:rsidRPr="00B21F28" w:rsidRDefault="007078BC" w:rsidP="007078BC">
            <w:pPr>
              <w:autoSpaceDE w:val="0"/>
              <w:autoSpaceDN w:val="0"/>
              <w:adjustRightInd w:val="0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préparent et nourrissent les enfants âgés de 6 à 23 mois de manière hygiénique.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F8A1FCE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F2E1D4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CE3A23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992C6E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4A3807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auto"/>
            </w:tcBorders>
            <w:shd w:val="clear" w:color="auto" w:fill="D7D3D3"/>
          </w:tcPr>
          <w:p w14:paraId="1284F6FA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7A413A" w:rsidRPr="00EB362E" w14:paraId="1489B42D" w14:textId="1203823B" w:rsidTr="007078BC">
        <w:trPr>
          <w:trHeight w:val="790"/>
        </w:trPr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E7D571" w14:textId="77D473B0" w:rsidR="00681522" w:rsidRPr="00B21F28" w:rsidRDefault="007078BC" w:rsidP="007078BC">
            <w:pPr>
              <w:autoSpaceDE w:val="0"/>
              <w:autoSpaceDN w:val="0"/>
              <w:adjustRightInd w:val="0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nourrissent les enfants âgés de 6 à 23 mois de manière adaptée.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F436D9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E92B21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28540D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2D4000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FD3291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auto"/>
            </w:tcBorders>
            <w:shd w:val="clear" w:color="auto" w:fill="D7D3D3"/>
          </w:tcPr>
          <w:p w14:paraId="2BA7D342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9A19D3" w:rsidRPr="00EB362E" w14:paraId="6E29819A" w14:textId="6060678C" w:rsidTr="00681522">
        <w:trPr>
          <w:trHeight w:val="60"/>
        </w:trPr>
        <w:tc>
          <w:tcPr>
            <w:tcW w:w="13590" w:type="dxa"/>
            <w:gridSpan w:val="9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D7162E0" w14:textId="449D88AC" w:rsidR="009A19D3" w:rsidRPr="00B21F28" w:rsidRDefault="007078BC" w:rsidP="00D51E68">
            <w:pPr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rFonts w:cs="Gill Sans Std"/>
                <w:b/>
                <w:bCs/>
                <w:color w:val="BA000A"/>
                <w:sz w:val="22"/>
                <w:szCs w:val="22"/>
                <w:lang w:val="fr-FR"/>
              </w:rPr>
            </w:pPr>
            <w:r w:rsidRPr="004567F8">
              <w:rPr>
                <w:rFonts w:cs="Gill Sans Std"/>
                <w:b/>
                <w:bCs/>
                <w:color w:val="BA0C2F" w:themeColor="text2"/>
                <w:sz w:val="22"/>
                <w:szCs w:val="22"/>
                <w:lang w:val="fr-FR"/>
              </w:rPr>
              <w:t>L'alimentation pendant et après les épisodes de maladie</w:t>
            </w:r>
          </w:p>
        </w:tc>
      </w:tr>
      <w:tr w:rsidR="007A413A" w:rsidRPr="00EB362E" w14:paraId="3BB700C8" w14:textId="31EB1B05" w:rsidTr="007078BC">
        <w:trPr>
          <w:trHeight w:val="60"/>
        </w:trPr>
        <w:tc>
          <w:tcPr>
            <w:tcW w:w="3150" w:type="dxa"/>
            <w:tcBorders>
              <w:top w:val="single" w:sz="8" w:space="0" w:color="000000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5DD833" w14:textId="559A409D" w:rsidR="007A413A" w:rsidRPr="00B21F28" w:rsidRDefault="007078BC" w:rsidP="00EB362E">
            <w:pPr>
              <w:autoSpaceDE w:val="0"/>
              <w:autoSpaceDN w:val="0"/>
              <w:adjustRightInd w:val="0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veillent à ce que les enfants âgés de 6 à 23 mois continuent à être allaités et à</w:t>
            </w:r>
            <w:r w:rsidR="00EB362E">
              <w:rPr>
                <w:rFonts w:cs="Gill Sans Std"/>
                <w:color w:val="000000"/>
                <w:sz w:val="22"/>
                <w:szCs w:val="22"/>
                <w:lang w:val="fr-FR"/>
              </w:rPr>
              <w:t xml:space="preserve"> </w:t>
            </w:r>
            <w:r w:rsidRPr="00B21F28">
              <w:rPr>
                <w:rFonts w:cs="Gill Sans Std"/>
                <w:color w:val="000000"/>
                <w:sz w:val="22"/>
                <w:szCs w:val="22"/>
                <w:lang w:val="fr-FR"/>
              </w:rPr>
              <w:t>manger pendant la maladie.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3BF29F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D78C4A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2DB426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64D14C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BE32FE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FFFFFF" w:themeColor="background1"/>
              <w:bottom w:val="single" w:sz="8" w:space="0" w:color="FFFFFF"/>
              <w:right w:val="single" w:sz="8" w:space="0" w:color="auto"/>
            </w:tcBorders>
            <w:shd w:val="clear" w:color="auto" w:fill="D7D3D3"/>
          </w:tcPr>
          <w:p w14:paraId="23785B2C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  <w:tr w:rsidR="007A413A" w:rsidRPr="00EB362E" w14:paraId="537E57FE" w14:textId="5B4E5DFB" w:rsidTr="007078BC">
        <w:trPr>
          <w:trHeight w:val="60"/>
        </w:trPr>
        <w:tc>
          <w:tcPr>
            <w:tcW w:w="3150" w:type="dxa"/>
            <w:tcBorders>
              <w:top w:val="single" w:sz="8" w:space="0" w:color="FFFFFF"/>
              <w:left w:val="single" w:sz="8" w:space="0" w:color="auto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6A5CF92" w14:textId="2DC77543" w:rsidR="007A413A" w:rsidRPr="00B21F28" w:rsidRDefault="007078BC" w:rsidP="007078BC">
            <w:pPr>
              <w:autoSpaceDE w:val="0"/>
              <w:autoSpaceDN w:val="0"/>
              <w:adjustRightInd w:val="0"/>
              <w:rPr>
                <w:rFonts w:cs="Gill Sans Std"/>
                <w:color w:val="000000"/>
                <w:sz w:val="22"/>
                <w:szCs w:val="22"/>
                <w:lang w:val="fr-FR"/>
              </w:rPr>
            </w:pPr>
            <w:r w:rsidRPr="00B21F28">
              <w:rPr>
                <w:rFonts w:cs="Gill Sans Std"/>
                <w:color w:val="000000"/>
                <w:sz w:val="22"/>
                <w:szCs w:val="22"/>
                <w:lang w:val="fr-FR"/>
              </w:rPr>
              <w:t>Les personnes qui s’occupent des enfants fournissent aux enfants âgés de 6 à 23 mois une alimentation de récupération pendant deux semaines après la maladie.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21908DA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7573EE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ED380C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BE9E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8BDBE2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 w:themeColor="background1"/>
            </w:tcBorders>
            <w:shd w:val="clear" w:color="auto" w:fill="D7D3D3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7F376E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D7D3D3"/>
          </w:tcPr>
          <w:p w14:paraId="68784C75" w14:textId="77777777" w:rsidR="007A413A" w:rsidRPr="00B21F28" w:rsidRDefault="007A413A" w:rsidP="00834B35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</w:p>
        </w:tc>
      </w:tr>
    </w:tbl>
    <w:p w14:paraId="6D1D074F" w14:textId="77725A3A" w:rsidR="00623C5D" w:rsidRPr="00B21F28" w:rsidRDefault="00623C5D" w:rsidP="00623C5D">
      <w:pPr>
        <w:rPr>
          <w:lang w:val="fr-FR"/>
        </w:rPr>
      </w:pPr>
    </w:p>
    <w:sectPr w:rsidR="00623C5D" w:rsidRPr="00B21F28" w:rsidSect="00A0169C">
      <w:headerReference w:type="default" r:id="rId13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0274" w14:textId="77777777" w:rsidR="001B62DA" w:rsidRDefault="001B62DA" w:rsidP="00DD6AD9">
      <w:r>
        <w:separator/>
      </w:r>
    </w:p>
  </w:endnote>
  <w:endnote w:type="continuationSeparator" w:id="0">
    <w:p w14:paraId="50C8CF18" w14:textId="77777777" w:rsidR="001B62DA" w:rsidRDefault="001B62DA" w:rsidP="00DD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Bahnschrift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9686560"/>
      <w:docPartObj>
        <w:docPartGallery w:val="Page Numbers (Bottom of Page)"/>
        <w:docPartUnique/>
      </w:docPartObj>
    </w:sdtPr>
    <w:sdtContent>
      <w:p w14:paraId="328BACB5" w14:textId="0526295B" w:rsidR="00DE3639" w:rsidRDefault="00DE3639" w:rsidP="003A66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A45CD" w14:textId="77777777" w:rsidR="00DE3639" w:rsidRDefault="00DE3639" w:rsidP="00DE3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</w:rPr>
      <w:id w:val="-1015612536"/>
      <w:docPartObj>
        <w:docPartGallery w:val="Page Numbers (Bottom of Page)"/>
        <w:docPartUnique/>
      </w:docPartObj>
    </w:sdtPr>
    <w:sdtEndPr>
      <w:rPr>
        <w:rStyle w:val="PageNumber"/>
        <w:b w:val="0"/>
        <w:bCs w:val="0"/>
        <w:sz w:val="22"/>
        <w:szCs w:val="22"/>
      </w:rPr>
    </w:sdtEndPr>
    <w:sdtContent>
      <w:p w14:paraId="656CB75E" w14:textId="13041BCA" w:rsidR="00DE3639" w:rsidRPr="00081E8A" w:rsidRDefault="00EB362E" w:rsidP="009927F5">
        <w:pPr>
          <w:pStyle w:val="Footer"/>
          <w:framePr w:w="1631" w:h="314" w:hRule="exact" w:wrap="none" w:vAnchor="text" w:hAnchor="page" w:x="13341" w:y="269"/>
          <w:jc w:val="right"/>
          <w:rPr>
            <w:rStyle w:val="PageNumber"/>
            <w:b/>
            <w:bCs/>
            <w:color w:val="FFFFFF" w:themeColor="background1"/>
            <w:sz w:val="22"/>
            <w:szCs w:val="22"/>
          </w:rPr>
        </w:pPr>
        <w:r w:rsidRPr="006031C5">
          <w:rPr>
            <w:rStyle w:val="PageNumber"/>
            <w:sz w:val="22"/>
            <w:szCs w:val="22"/>
          </w:rPr>
          <w:t>O</w:t>
        </w:r>
        <w:r w:rsidR="00FD1498" w:rsidRPr="006031C5">
          <w:rPr>
            <w:rStyle w:val="PageNumber"/>
            <w:sz w:val="22"/>
            <w:szCs w:val="22"/>
          </w:rPr>
          <w:t>cto</w:t>
        </w:r>
        <w:r w:rsidR="007078BC" w:rsidRPr="006031C5">
          <w:rPr>
            <w:rStyle w:val="PageNumber"/>
            <w:sz w:val="22"/>
            <w:szCs w:val="22"/>
          </w:rPr>
          <w:t>bre</w:t>
        </w:r>
        <w:r w:rsidR="00FD1498" w:rsidRPr="006031C5">
          <w:rPr>
            <w:rStyle w:val="PageNumber"/>
            <w:b/>
            <w:bCs/>
            <w:sz w:val="22"/>
            <w:szCs w:val="22"/>
          </w:rPr>
          <w:t xml:space="preserve"> </w:t>
        </w:r>
        <w:r w:rsidR="00FD1498" w:rsidRPr="006031C5">
          <w:rPr>
            <w:rStyle w:val="PageNumber"/>
            <w:sz w:val="22"/>
            <w:szCs w:val="22"/>
          </w:rPr>
          <w:t>2022</w:t>
        </w:r>
      </w:p>
    </w:sdtContent>
  </w:sdt>
  <w:p w14:paraId="68DEA3E1" w14:textId="3050447C" w:rsidR="00DD6AD9" w:rsidRDefault="00546E1D" w:rsidP="00DE363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60200B" wp14:editId="46BB74E4">
              <wp:simplePos x="0" y="0"/>
              <wp:positionH relativeFrom="margin">
                <wp:posOffset>4356100</wp:posOffset>
              </wp:positionH>
              <wp:positionV relativeFrom="paragraph">
                <wp:posOffset>5080</wp:posOffset>
              </wp:positionV>
              <wp:extent cx="3289300" cy="548640"/>
              <wp:effectExtent l="0" t="0" r="0" b="381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9300" cy="548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706B7" w14:textId="57D7EAF6" w:rsidR="00546E1D" w:rsidRPr="007078BC" w:rsidRDefault="007078BC" w:rsidP="00546E1D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 xml:space="preserve">Cette feuille de travail accompagne </w:t>
                          </w:r>
                          <w:r w:rsidRPr="00420F76">
                            <w:rPr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Permettre une meilleure alimentation complémentaire : Guide et cahier d’exercices.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020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43pt;margin-top:.4pt;width:259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" filled="f" stroked="f" strokeweight=".5pt">
              <v:textbox>
                <w:txbxContent>
                  <w:p w14:paraId="141706B7" w14:textId="57D7EAF6" w:rsidR="00546E1D" w:rsidRPr="007078BC" w:rsidRDefault="007078BC" w:rsidP="00546E1D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 xml:space="preserve">Cette feuille de travail accompagne </w:t>
                    </w:r>
                    <w:r w:rsidRPr="00420F76">
                      <w:rPr>
                        <w:i/>
                        <w:iCs/>
                        <w:color w:val="FFFFFF" w:themeColor="background1"/>
                        <w:sz w:val="16"/>
                        <w:szCs w:val="16"/>
                        <w:lang w:val="fr-FR"/>
                      </w:rPr>
                      <w:t>Permettre une meilleure alimentation complémentaire : Guide et cahier d’exercices.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6AD9">
      <w:rPr>
        <w:noProof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17FDC520" wp14:editId="1F9346FD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0" b="0"/>
              <wp:wrapNone/>
              <wp:docPr id="16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082FCA" w14:textId="29D59E08" w:rsidR="00DD6AD9" w:rsidRPr="00E56795" w:rsidRDefault="007078BC" w:rsidP="00E56795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Ce document a été produit pour l'Agence des États-Unis pour</w:t>
                          </w:r>
                          <w:r w:rsid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le développement </w:t>
                          </w:r>
                          <w:r w:rsid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international. Il a été préparé dans le cadre</w:t>
                          </w:r>
                          <w:r w:rsid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du contrat 7200AA18C00070 attribué à </w:t>
                          </w:r>
                          <w:r w:rsid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JSI </w:t>
                          </w:r>
                          <w:proofErr w:type="spellStart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Research</w:t>
                          </w:r>
                          <w:proofErr w:type="spellEnd"/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&amp; Training</w:t>
                          </w:r>
                          <w:r w:rsid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Institute, Inc. (JSI). Le contenu relève de la responsabilité de</w:t>
                          </w:r>
                          <w:r w:rsid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JSI</w:t>
                          </w:r>
                          <w:r w:rsid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Pr="007078BC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et ne reflète pas nécessairement les vues de USAID ou du</w:t>
                          </w:r>
                          <w:r w:rsid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E56795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gouvernement des États-Unis.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5486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FDC520" id="Text Box 16" o:spid="_x0000_s1027" type="#_x0000_t202" alt="&quot;&quot;" style="position:absolute;margin-left:0;margin-top:558pt;width:11in;height:54pt;z-index:-251654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" fillcolor="#ba0c2f" stroked="f" strokeweight=".5pt">
              <v:textbox inset="36pt,,6in">
                <w:txbxContent>
                  <w:p w14:paraId="1A082FCA" w14:textId="29D59E08" w:rsidR="00DD6AD9" w:rsidRPr="00E56795" w:rsidRDefault="007078BC" w:rsidP="00E56795">
                    <w:pPr>
                      <w:autoSpaceDE w:val="0"/>
                      <w:autoSpaceDN w:val="0"/>
                      <w:adjustRightInd w:val="0"/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Ce document a été produit pour l'Agence des États-Unis pour</w:t>
                    </w:r>
                    <w:r w:rsid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le développement </w:t>
                    </w:r>
                    <w:r w:rsid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international. Il a été préparé dans le cadre</w:t>
                    </w:r>
                    <w:r w:rsid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du contrat 7200AA18C00070 attribué à </w:t>
                    </w:r>
                    <w:r w:rsid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JSI </w:t>
                    </w:r>
                    <w:proofErr w:type="spellStart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Research</w:t>
                    </w:r>
                    <w:proofErr w:type="spellEnd"/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&amp; Training</w:t>
                    </w:r>
                    <w:r w:rsid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Institute, Inc. (JSI). Le contenu relève de la responsabilité de</w:t>
                    </w:r>
                    <w:r w:rsid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JSI</w:t>
                    </w:r>
                    <w:r w:rsid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br/>
                    </w:r>
                    <w:r w:rsidRPr="007078BC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et ne reflète pas nécessairement les vues de USAID ou du</w:t>
                    </w:r>
                    <w:r w:rsid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 </w:t>
                    </w:r>
                    <w:r w:rsidRPr="00E56795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>gouvernement des États-Unis.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C0E7" w14:textId="0BBEE926" w:rsidR="00DD6AD9" w:rsidRDefault="00DD6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0300EA" wp14:editId="05AE614D">
              <wp:simplePos x="0" y="0"/>
              <wp:positionH relativeFrom="page">
                <wp:posOffset>0</wp:posOffset>
              </wp:positionH>
              <wp:positionV relativeFrom="page">
                <wp:posOffset>7086600</wp:posOffset>
              </wp:positionV>
              <wp:extent cx="10058400" cy="685800"/>
              <wp:effectExtent l="0" t="0" r="12700" b="1270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685800"/>
                      </a:xfrm>
                      <a:prstGeom prst="rect">
                        <a:avLst/>
                      </a:prstGeom>
                      <a:solidFill>
                        <a:srgbClr val="BA0C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C8DECB7" w14:textId="7C84DD11" w:rsidR="00DD6AD9" w:rsidRPr="003B092A" w:rsidRDefault="00DD6AD9" w:rsidP="00546E1D">
                          <w:pPr>
                            <w:tabs>
                              <w:tab w:val="left" w:pos="6120"/>
                              <w:tab w:val="left" w:pos="12960"/>
                            </w:tabs>
                            <w:rPr>
                              <w:color w:val="FFFFFF" w:themeColor="background1"/>
                            </w:rPr>
                          </w:pP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USAID ADVANCIN</w:t>
                          </w:r>
                          <w:r w:rsidR="00060CF0">
                            <w:rPr>
                              <w:b/>
                              <w:bCs/>
                              <w:color w:val="FFFFFF" w:themeColor="background1"/>
                            </w:rPr>
                            <w:t>G NUTRITION</w:t>
                          </w:r>
                          <w:r w:rsidR="00060CF0"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  <w:t>www.advancingnutrit</w:t>
                          </w:r>
                          <w:r w:rsidRPr="003B092A">
                            <w:rPr>
                              <w:b/>
                              <w:bCs/>
                              <w:color w:val="FFFFFF" w:themeColor="background1"/>
                            </w:rPr>
                            <w:t>ion.org</w:t>
                          </w:r>
                          <w:r w:rsidRPr="003B092A">
                            <w:rPr>
                              <w:color w:val="FFFFFF" w:themeColor="background1"/>
                            </w:rPr>
                            <w:tab/>
                            <w:t>July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300E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&quot;&quot;" style="position:absolute;margin-left:0;margin-top:558pt;width:11in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" fillcolor="#ba0c2f" strokeweight=".5pt">
              <v:textbox inset="36pt,,36pt">
                <w:txbxContent>
                  <w:p w14:paraId="1C8DECB7" w14:textId="7C84DD11" w:rsidR="00DD6AD9" w:rsidRPr="003B092A" w:rsidRDefault="00DD6AD9" w:rsidP="00546E1D">
                    <w:pPr>
                      <w:tabs>
                        <w:tab w:val="left" w:pos="6120"/>
                        <w:tab w:val="left" w:pos="12960"/>
                      </w:tabs>
                      <w:rPr>
                        <w:color w:val="FFFFFF" w:themeColor="background1"/>
                      </w:rPr>
                    </w:pPr>
                    <w:r w:rsidRPr="003B092A">
                      <w:rPr>
                        <w:b/>
                        <w:bCs/>
                        <w:color w:val="FFFFFF" w:themeColor="background1"/>
                      </w:rPr>
                      <w:t>USAID ADVANCIN</w:t>
                    </w:r>
                    <w:r w:rsidR="00060CF0">
                      <w:rPr>
                        <w:b/>
                        <w:bCs/>
                        <w:color w:val="FFFFFF" w:themeColor="background1"/>
                      </w:rPr>
                      <w:t>G NUTRITION</w:t>
                    </w:r>
                    <w:r w:rsidR="00060CF0">
                      <w:rPr>
                        <w:b/>
                        <w:bCs/>
                        <w:color w:val="FFFFFF" w:themeColor="background1"/>
                      </w:rPr>
                      <w:tab/>
                      <w:t>www.advancingnutrit</w:t>
                    </w:r>
                    <w:r w:rsidRPr="003B092A">
                      <w:rPr>
                        <w:b/>
                        <w:bCs/>
                        <w:color w:val="FFFFFF" w:themeColor="background1"/>
                      </w:rPr>
                      <w:t>ion.org</w:t>
                    </w:r>
                    <w:r w:rsidRPr="003B092A">
                      <w:rPr>
                        <w:color w:val="FFFFFF" w:themeColor="background1"/>
                      </w:rPr>
                      <w:tab/>
                      <w:t>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F059" w14:textId="77777777" w:rsidR="001B62DA" w:rsidRDefault="001B62DA" w:rsidP="00DD6AD9">
      <w:r>
        <w:separator/>
      </w:r>
    </w:p>
  </w:footnote>
  <w:footnote w:type="continuationSeparator" w:id="0">
    <w:p w14:paraId="7489932B" w14:textId="77777777" w:rsidR="001B62DA" w:rsidRDefault="001B62DA" w:rsidP="00DD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5659" w14:textId="77777777" w:rsidR="00081E8A" w:rsidRDefault="00081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4CA9" w14:textId="15822A5C" w:rsidR="006075CB" w:rsidRDefault="006075CB">
    <w:pPr>
      <w:pStyle w:val="Header"/>
    </w:pPr>
    <w:r>
      <w:rPr>
        <w:noProof/>
      </w:rPr>
      <w:drawing>
        <wp:inline distT="0" distB="0" distL="0" distR="0" wp14:anchorId="4941E3D8" wp14:editId="3CF40633">
          <wp:extent cx="2152650" cy="773430"/>
          <wp:effectExtent l="0" t="0" r="0" b="7620"/>
          <wp:docPr id="5" name="Picture 5" title="U S A I D DE PEUPLE AMERICI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6" b="15058"/>
                  <a:stretch/>
                </pic:blipFill>
                <pic:spPr bwMode="auto">
                  <a:xfrm>
                    <a:off x="0" y="0"/>
                    <a:ext cx="2161008" cy="776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7FA" w14:textId="012A13A5" w:rsidR="00DD6AD9" w:rsidRDefault="00DD6AD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0235CEB" wp14:editId="059C9005">
          <wp:simplePos x="0" y="0"/>
          <wp:positionH relativeFrom="page">
            <wp:posOffset>457200</wp:posOffset>
          </wp:positionH>
          <wp:positionV relativeFrom="paragraph">
            <wp:posOffset>-182880</wp:posOffset>
          </wp:positionV>
          <wp:extent cx="2176272" cy="658368"/>
          <wp:effectExtent l="0" t="0" r="0" b="254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298A" w14:textId="645E2DE1" w:rsidR="00141DE0" w:rsidRDefault="00141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9C"/>
    <w:rsid w:val="000145A5"/>
    <w:rsid w:val="00060CF0"/>
    <w:rsid w:val="00081E8A"/>
    <w:rsid w:val="000843D3"/>
    <w:rsid w:val="00134F4C"/>
    <w:rsid w:val="00141DE0"/>
    <w:rsid w:val="001422BF"/>
    <w:rsid w:val="001A4C5F"/>
    <w:rsid w:val="001B62DA"/>
    <w:rsid w:val="001F46BF"/>
    <w:rsid w:val="0020540F"/>
    <w:rsid w:val="002124C5"/>
    <w:rsid w:val="003269CB"/>
    <w:rsid w:val="00350200"/>
    <w:rsid w:val="00376F2E"/>
    <w:rsid w:val="003E17E3"/>
    <w:rsid w:val="003E3983"/>
    <w:rsid w:val="00413C69"/>
    <w:rsid w:val="00420F76"/>
    <w:rsid w:val="0042621B"/>
    <w:rsid w:val="00427DB7"/>
    <w:rsid w:val="004567F8"/>
    <w:rsid w:val="004612B7"/>
    <w:rsid w:val="00494E0B"/>
    <w:rsid w:val="005309C1"/>
    <w:rsid w:val="00545DE6"/>
    <w:rsid w:val="00546E1D"/>
    <w:rsid w:val="005C7C27"/>
    <w:rsid w:val="005F105E"/>
    <w:rsid w:val="006031C5"/>
    <w:rsid w:val="006075CB"/>
    <w:rsid w:val="00623C5D"/>
    <w:rsid w:val="006767C1"/>
    <w:rsid w:val="00681522"/>
    <w:rsid w:val="00687A25"/>
    <w:rsid w:val="006963EE"/>
    <w:rsid w:val="006D2CAD"/>
    <w:rsid w:val="007078BC"/>
    <w:rsid w:val="007A413A"/>
    <w:rsid w:val="007C56EF"/>
    <w:rsid w:val="00834B35"/>
    <w:rsid w:val="008D0C80"/>
    <w:rsid w:val="009927F5"/>
    <w:rsid w:val="009A19D3"/>
    <w:rsid w:val="009B1E40"/>
    <w:rsid w:val="009C4AE4"/>
    <w:rsid w:val="00A0169C"/>
    <w:rsid w:val="00AA1E3F"/>
    <w:rsid w:val="00AF19B7"/>
    <w:rsid w:val="00AF2325"/>
    <w:rsid w:val="00B21F28"/>
    <w:rsid w:val="00B84DE5"/>
    <w:rsid w:val="00BE1608"/>
    <w:rsid w:val="00BF1CBD"/>
    <w:rsid w:val="00C2417B"/>
    <w:rsid w:val="00CA1A0B"/>
    <w:rsid w:val="00CD02A2"/>
    <w:rsid w:val="00D03885"/>
    <w:rsid w:val="00D51E68"/>
    <w:rsid w:val="00DA42DE"/>
    <w:rsid w:val="00DA4C9B"/>
    <w:rsid w:val="00DD3037"/>
    <w:rsid w:val="00DD6AD9"/>
    <w:rsid w:val="00DE3639"/>
    <w:rsid w:val="00E03613"/>
    <w:rsid w:val="00E122AD"/>
    <w:rsid w:val="00E14590"/>
    <w:rsid w:val="00E168B9"/>
    <w:rsid w:val="00E40200"/>
    <w:rsid w:val="00E56795"/>
    <w:rsid w:val="00E93B2C"/>
    <w:rsid w:val="00E96246"/>
    <w:rsid w:val="00EB362E"/>
    <w:rsid w:val="00ED0F2B"/>
    <w:rsid w:val="00F3393E"/>
    <w:rsid w:val="00F907D4"/>
    <w:rsid w:val="00F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DAD62"/>
  <w15:chartTrackingRefBased/>
  <w15:docId w15:val="{C692CD82-2168-364B-8A5B-ED39E381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9C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C27"/>
    <w:pPr>
      <w:keepNext/>
      <w:keepLines/>
      <w:spacing w:before="120" w:after="120"/>
      <w:outlineLvl w:val="0"/>
    </w:pPr>
    <w:rPr>
      <w:rFonts w:eastAsiaTheme="majorEastAsia" w:cstheme="majorBidi"/>
      <w:b/>
      <w:color w:val="212721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D9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DD6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D9"/>
    <w:rPr>
      <w:rFonts w:ascii="Gill Sans MT" w:hAnsi="Gill Sans MT"/>
    </w:rPr>
  </w:style>
  <w:style w:type="paragraph" w:customStyle="1" w:styleId="Top-TabLetterH">
    <w:name w:val="Top-Tab (Letter H)"/>
    <w:basedOn w:val="Normal"/>
    <w:uiPriority w:val="99"/>
    <w:rsid w:val="00DD6AD9"/>
    <w:pPr>
      <w:suppressAutoHyphens/>
      <w:autoSpaceDE w:val="0"/>
      <w:autoSpaceDN w:val="0"/>
      <w:adjustRightInd w:val="0"/>
      <w:spacing w:before="72" w:after="72" w:line="240" w:lineRule="atLeast"/>
      <w:jc w:val="right"/>
      <w:textAlignment w:val="center"/>
    </w:pPr>
    <w:rPr>
      <w:rFonts w:ascii="Gill Sans Std" w:hAnsi="Gill Sans Std" w:cs="Gill Sans Std"/>
      <w:b/>
      <w:bCs/>
      <w:color w:val="FFFFFF"/>
      <w:spacing w:val="5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E3639"/>
  </w:style>
  <w:style w:type="character" w:styleId="CommentReference">
    <w:name w:val="annotation reference"/>
    <w:basedOn w:val="DefaultParagraphFont"/>
    <w:uiPriority w:val="99"/>
    <w:semiHidden/>
    <w:unhideWhenUsed/>
    <w:rsid w:val="007A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13A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13A"/>
    <w:rPr>
      <w:rFonts w:ascii="Gill Sans MT" w:hAnsi="Gill Sans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3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7C27"/>
    <w:rPr>
      <w:rFonts w:ascii="Gill Sans MT" w:eastAsiaTheme="majorEastAsia" w:hAnsi="Gill Sans MT" w:cstheme="majorBidi"/>
      <w:b/>
      <w:color w:val="212721" w:themeColor="text1"/>
      <w:szCs w:val="32"/>
    </w:rPr>
  </w:style>
  <w:style w:type="paragraph" w:styleId="Revision">
    <w:name w:val="Revision"/>
    <w:hidden/>
    <w:uiPriority w:val="99"/>
    <w:semiHidden/>
    <w:rsid w:val="00B84DE5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SAID">
      <a:dk1>
        <a:srgbClr val="212721"/>
      </a:dk1>
      <a:lt1>
        <a:sysClr val="window" lastClr="FFFFFF"/>
      </a:lt1>
      <a:dk2>
        <a:srgbClr val="BA0C2F"/>
      </a:dk2>
      <a:lt2>
        <a:srgbClr val="CFCDC9"/>
      </a:lt2>
      <a:accent1>
        <a:srgbClr val="002F6C"/>
      </a:accent1>
      <a:accent2>
        <a:srgbClr val="0067B9"/>
      </a:accent2>
      <a:accent3>
        <a:srgbClr val="8C8985"/>
      </a:accent3>
      <a:accent4>
        <a:srgbClr val="6C6463"/>
      </a:accent4>
      <a:accent5>
        <a:srgbClr val="651D32"/>
      </a:accent5>
      <a:accent6>
        <a:srgbClr val="A7C6E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08C48-D67A-493E-8F51-CA6A18D7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Feuille de travail 1.1 Priorisation initiale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travail 1.1 Priorisation initiale</dc:title>
  <dc:subject>CFWB_BLANK_Worksheet_1.1_Initial_Prioritization_2022_fr</dc:subject>
  <dc:creator>USAID DU PEUPLE AMERICIAN</dc:creator>
  <cp:keywords/>
  <dc:description/>
  <cp:lastModifiedBy>C Nalini</cp:lastModifiedBy>
  <cp:revision>16</cp:revision>
  <dcterms:created xsi:type="dcterms:W3CDTF">2023-08-08T13:57:00Z</dcterms:created>
  <dcterms:modified xsi:type="dcterms:W3CDTF">2023-09-06T11:56:00Z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French</vt:lpwstr>
  </property>
</Properties>
</file>